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0" w:type="dxa"/>
        <w:shd w:val="clear" w:color="auto" w:fill="FFFFFF"/>
        <w:tblCellMar>
          <w:left w:w="0" w:type="dxa"/>
          <w:right w:w="0" w:type="dxa"/>
        </w:tblCellMar>
        <w:tblLook w:val="04A0" w:firstRow="1" w:lastRow="0" w:firstColumn="1" w:lastColumn="0" w:noHBand="0" w:noVBand="1"/>
      </w:tblPr>
      <w:tblGrid>
        <w:gridCol w:w="10800"/>
      </w:tblGrid>
      <w:tr w:rsidR="00AE23A1" w:rsidRPr="00AE23A1" w14:paraId="4AFE6BFF" w14:textId="77777777" w:rsidTr="00AE23A1">
        <w:trPr>
          <w:tblCellSpacing w:w="0" w:type="dxa"/>
        </w:trPr>
        <w:tc>
          <w:tcPr>
            <w:tcW w:w="0" w:type="auto"/>
            <w:shd w:val="clear" w:color="auto" w:fill="FFFFFF"/>
            <w:vAlign w:val="center"/>
            <w:hideMark/>
          </w:tcPr>
          <w:tbl>
            <w:tblPr>
              <w:tblW w:w="9711" w:type="dxa"/>
              <w:tblCellSpacing w:w="0" w:type="dxa"/>
              <w:tblCellMar>
                <w:left w:w="0" w:type="dxa"/>
                <w:right w:w="0" w:type="dxa"/>
              </w:tblCellMar>
              <w:tblLook w:val="04A0" w:firstRow="1" w:lastRow="0" w:firstColumn="1" w:lastColumn="0" w:noHBand="0" w:noVBand="1"/>
            </w:tblPr>
            <w:tblGrid>
              <w:gridCol w:w="10800"/>
            </w:tblGrid>
            <w:tr w:rsidR="00AE23A1" w:rsidRPr="00AE23A1" w14:paraId="788AED15" w14:textId="77777777" w:rsidTr="00AE23A1">
              <w:trPr>
                <w:trHeight w:val="301"/>
                <w:tblCellSpacing w:w="0" w:type="dxa"/>
              </w:trPr>
              <w:tc>
                <w:tcPr>
                  <w:tcW w:w="0" w:type="auto"/>
                  <w:shd w:val="clear" w:color="auto" w:fill="FFFFFF"/>
                  <w:vAlign w:val="center"/>
                  <w:hideMark/>
                </w:tcPr>
                <w:p w14:paraId="1C580A2C" w14:textId="56C42DAA" w:rsidR="00AE23A1" w:rsidRPr="00AE23A1" w:rsidRDefault="00AE23A1" w:rsidP="00AE23A1">
                  <w:pPr>
                    <w:spacing w:line="0" w:lineRule="atLeast"/>
                    <w:rPr>
                      <w:rFonts w:ascii="Calibri" w:eastAsia="Times New Roman" w:hAnsi="Calibri" w:cs="Calibri"/>
                      <w:sz w:val="22"/>
                      <w:szCs w:val="22"/>
                    </w:rPr>
                  </w:pPr>
                  <w:r w:rsidRPr="00AE23A1">
                    <w:rPr>
                      <w:rFonts w:ascii="inherit" w:eastAsia="Times New Roman" w:hAnsi="inherit" w:cs="Calibri"/>
                      <w:sz w:val="2"/>
                      <w:szCs w:val="2"/>
                      <w:bdr w:val="none" w:sz="0" w:space="0" w:color="auto" w:frame="1"/>
                    </w:rPr>
                    <w:t> </w:t>
                  </w:r>
                  <w:r>
                    <w:rPr>
                      <w:rFonts w:ascii="Calibri" w:eastAsia="Times New Roman" w:hAnsi="Calibri" w:cs="Calibri"/>
                      <w:noProof/>
                      <w:sz w:val="22"/>
                      <w:szCs w:val="22"/>
                    </w:rPr>
                    <w:drawing>
                      <wp:inline distT="0" distB="0" distL="0" distR="0" wp14:anchorId="3F18B716" wp14:editId="5C1D60F7">
                        <wp:extent cx="7079580" cy="763929"/>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2-21 at 9.55.21 AM.png"/>
                                <pic:cNvPicPr/>
                              </pic:nvPicPr>
                              <pic:blipFill>
                                <a:blip r:embed="rId4">
                                  <a:extLst>
                                    <a:ext uri="{28A0092B-C50C-407E-A947-70E740481C1C}">
                                      <a14:useLocalDpi xmlns:a14="http://schemas.microsoft.com/office/drawing/2010/main" val="0"/>
                                    </a:ext>
                                  </a:extLst>
                                </a:blip>
                                <a:stretch>
                                  <a:fillRect/>
                                </a:stretch>
                              </pic:blipFill>
                              <pic:spPr>
                                <a:xfrm>
                                  <a:off x="0" y="0"/>
                                  <a:ext cx="7089644" cy="765015"/>
                                </a:xfrm>
                                <a:prstGeom prst="rect">
                                  <a:avLst/>
                                </a:prstGeom>
                              </pic:spPr>
                            </pic:pic>
                          </a:graphicData>
                        </a:graphic>
                      </wp:inline>
                    </w:drawing>
                  </w:r>
                </w:p>
              </w:tc>
            </w:tr>
            <w:tr w:rsidR="00AE23A1" w:rsidRPr="00AE23A1" w14:paraId="5098D161" w14:textId="77777777" w:rsidTr="00AE23A1">
              <w:trPr>
                <w:trHeight w:val="8143"/>
                <w:tblCellSpacing w:w="0" w:type="dxa"/>
              </w:trPr>
              <w:tc>
                <w:tcPr>
                  <w:tcW w:w="0" w:type="auto"/>
                  <w:shd w:val="clear" w:color="auto" w:fill="FFFFFF"/>
                  <w:vAlign w:val="center"/>
                  <w:hideMark/>
                </w:tcPr>
                <w:p w14:paraId="04B63A31" w14:textId="77777777" w:rsidR="00AE23A1" w:rsidRPr="00AE23A1" w:rsidRDefault="00AE23A1" w:rsidP="00AE23A1">
                  <w:pPr>
                    <w:spacing w:beforeAutospacing="1" w:line="510" w:lineRule="atLeast"/>
                    <w:rPr>
                      <w:rFonts w:ascii="Times New Roman" w:eastAsia="Times New Roman" w:hAnsi="Times New Roman" w:cs="Times New Roman"/>
                    </w:rPr>
                  </w:pPr>
                  <w:r w:rsidRPr="00AE23A1">
                    <w:rPr>
                      <w:rFonts w:ascii="Arial" w:eastAsia="Times New Roman" w:hAnsi="Arial" w:cs="Arial"/>
                      <w:color w:val="11175E"/>
                      <w:sz w:val="42"/>
                      <w:szCs w:val="42"/>
                      <w:bdr w:val="none" w:sz="0" w:space="0" w:color="auto" w:frame="1"/>
                    </w:rPr>
                    <w:t xml:space="preserve">Rate update for Athene </w:t>
                  </w:r>
                  <w:proofErr w:type="spellStart"/>
                  <w:r w:rsidRPr="00AE23A1">
                    <w:rPr>
                      <w:rFonts w:ascii="Arial" w:eastAsia="Times New Roman" w:hAnsi="Arial" w:cs="Arial"/>
                      <w:color w:val="11175E"/>
                      <w:sz w:val="42"/>
                      <w:szCs w:val="42"/>
                      <w:bdr w:val="none" w:sz="0" w:space="0" w:color="auto" w:frame="1"/>
                    </w:rPr>
                    <w:t>Ascent</w:t>
                  </w:r>
                  <w:r w:rsidRPr="00AE23A1">
                    <w:rPr>
                      <w:rFonts w:ascii="Arial" w:eastAsia="Times New Roman" w:hAnsi="Arial" w:cs="Arial"/>
                      <w:color w:val="11175E"/>
                      <w:sz w:val="42"/>
                      <w:szCs w:val="42"/>
                      <w:bdr w:val="none" w:sz="0" w:space="0" w:color="auto" w:frame="1"/>
                      <w:vertAlign w:val="superscript"/>
                    </w:rPr>
                    <w:t>SM</w:t>
                  </w:r>
                  <w:proofErr w:type="spellEnd"/>
                  <w:r w:rsidRPr="00AE23A1">
                    <w:rPr>
                      <w:rFonts w:ascii="Arial" w:eastAsia="Times New Roman" w:hAnsi="Arial" w:cs="Arial"/>
                      <w:color w:val="11175E"/>
                      <w:sz w:val="42"/>
                      <w:szCs w:val="42"/>
                      <w:bdr w:val="none" w:sz="0" w:space="0" w:color="auto" w:frame="1"/>
                    </w:rPr>
                    <w:t> Pro</w:t>
                  </w:r>
                </w:p>
                <w:p w14:paraId="5DE30B24" w14:textId="77777777" w:rsidR="00AE23A1" w:rsidRPr="00AE23A1" w:rsidRDefault="00AE23A1" w:rsidP="00AE23A1">
                  <w:pPr>
                    <w:spacing w:beforeAutospacing="1" w:afterAutospacing="1" w:line="360" w:lineRule="atLeast"/>
                    <w:rPr>
                      <w:rFonts w:ascii="Times New Roman" w:eastAsia="Times New Roman" w:hAnsi="Times New Roman" w:cs="Times New Roman"/>
                    </w:rPr>
                  </w:pPr>
                  <w:r w:rsidRPr="00AE23A1">
                    <w:rPr>
                      <w:rFonts w:ascii="Arial" w:eastAsia="Times New Roman" w:hAnsi="Arial" w:cs="Arial"/>
                      <w:color w:val="000000"/>
                      <w:bdr w:val="none" w:sz="0" w:space="0" w:color="auto" w:frame="1"/>
                    </w:rPr>
                    <w:t>Effective </w:t>
                  </w:r>
                  <w:r w:rsidRPr="00AE23A1">
                    <w:rPr>
                      <w:rFonts w:ascii="Arial" w:eastAsia="Times New Roman" w:hAnsi="Arial" w:cs="Arial"/>
                      <w:b/>
                      <w:bCs/>
                      <w:color w:val="000000"/>
                      <w:bdr w:val="none" w:sz="0" w:space="0" w:color="auto" w:frame="1"/>
                    </w:rPr>
                    <w:t>February 21, 2020</w:t>
                  </w:r>
                  <w:bookmarkStart w:id="0" w:name="_GoBack"/>
                  <w:bookmarkEnd w:id="0"/>
                </w:p>
                <w:p w14:paraId="6A2F5DC2" w14:textId="77777777" w:rsidR="00AE23A1" w:rsidRPr="00AE23A1" w:rsidRDefault="00AE23A1" w:rsidP="00AE23A1">
                  <w:pPr>
                    <w:spacing w:beforeAutospacing="1" w:afterAutospacing="1" w:line="360" w:lineRule="atLeast"/>
                    <w:rPr>
                      <w:rFonts w:ascii="Times New Roman" w:eastAsia="Times New Roman" w:hAnsi="Times New Roman" w:cs="Times New Roman"/>
                    </w:rPr>
                  </w:pPr>
                  <w:r w:rsidRPr="00AE23A1">
                    <w:rPr>
                      <w:rFonts w:ascii="Arial" w:eastAsia="Times New Roman" w:hAnsi="Arial" w:cs="Arial"/>
                      <w:b/>
                      <w:bCs/>
                      <w:color w:val="000000"/>
                      <w:bdr w:val="none" w:sz="0" w:space="0" w:color="auto" w:frame="1"/>
                    </w:rPr>
                    <w:t>Great news!</w:t>
                  </w:r>
                  <w:r w:rsidRPr="00AE23A1">
                    <w:rPr>
                      <w:rFonts w:ascii="Arial" w:eastAsia="Times New Roman" w:hAnsi="Arial" w:cs="Arial"/>
                      <w:color w:val="000000"/>
                      <w:bdr w:val="none" w:sz="0" w:space="0" w:color="auto" w:frame="1"/>
                    </w:rPr>
                    <w:t> We’re increasing Payout Factors on our Athene Ascent Pro 7 and Ascent Pro 10 products. At the same time, we’re also decreasing the Income Base Bonuses on Athene Ascent Pro 10.</w:t>
                  </w:r>
                  <w:r w:rsidRPr="00AE23A1">
                    <w:rPr>
                      <w:rFonts w:ascii="Arial" w:eastAsia="Times New Roman" w:hAnsi="Arial" w:cs="Arial"/>
                      <w:b/>
                      <w:bCs/>
                      <w:color w:val="000000"/>
                      <w:bdr w:val="none" w:sz="0" w:space="0" w:color="auto" w:frame="1"/>
                    </w:rPr>
                    <w:t> </w:t>
                  </w:r>
                  <w:r w:rsidRPr="00AE23A1">
                    <w:rPr>
                      <w:rFonts w:ascii="Arial" w:eastAsia="Times New Roman" w:hAnsi="Arial" w:cs="Arial"/>
                      <w:color w:val="000000"/>
                      <w:bdr w:val="none" w:sz="0" w:space="0" w:color="auto" w:frame="1"/>
                    </w:rPr>
                    <w:t>In most cases, income will be higher on Ascent Pro 10 relative to prior rates. Please contact your sales team to run an illustration.</w:t>
                  </w:r>
                </w:p>
                <w:p w14:paraId="362CDB15" w14:textId="77777777" w:rsidR="00AE23A1" w:rsidRPr="00AE23A1" w:rsidRDefault="00AE23A1" w:rsidP="00AE23A1">
                  <w:pPr>
                    <w:spacing w:beforeAutospacing="1" w:afterAutospacing="1" w:line="360" w:lineRule="atLeast"/>
                    <w:rPr>
                      <w:rFonts w:ascii="Times New Roman" w:eastAsia="Times New Roman" w:hAnsi="Times New Roman" w:cs="Times New Roman"/>
                    </w:rPr>
                  </w:pPr>
                  <w:r w:rsidRPr="00AE23A1">
                    <w:rPr>
                      <w:rFonts w:ascii="Arial" w:eastAsia="Times New Roman" w:hAnsi="Arial" w:cs="Arial"/>
                      <w:b/>
                      <w:bCs/>
                      <w:color w:val="000000"/>
                      <w:bdr w:val="none" w:sz="0" w:space="0" w:color="auto" w:frame="1"/>
                    </w:rPr>
                    <w:t>Rate grids with current and new rates can be found below.</w:t>
                  </w:r>
                  <w:r w:rsidRPr="00AE23A1">
                    <w:rPr>
                      <w:rFonts w:ascii="Arial" w:eastAsia="Times New Roman" w:hAnsi="Arial" w:cs="Arial"/>
                      <w:color w:val="000000"/>
                      <w:bdr w:val="none" w:sz="0" w:space="0" w:color="auto" w:frame="1"/>
                    </w:rPr>
                    <w:t> You can also visit </w:t>
                  </w:r>
                  <w:hyperlink r:id="rId5" w:tgtFrame="_blank" w:history="1">
                    <w:r w:rsidRPr="00AE23A1">
                      <w:rPr>
                        <w:rFonts w:ascii="Arial" w:eastAsia="Times New Roman" w:hAnsi="Arial" w:cs="Arial"/>
                        <w:color w:val="0000FF"/>
                        <w:u w:val="single"/>
                        <w:bdr w:val="none" w:sz="0" w:space="0" w:color="auto" w:frame="1"/>
                      </w:rPr>
                      <w:t>Athene Connect</w:t>
                    </w:r>
                  </w:hyperlink>
                  <w:r w:rsidRPr="00AE23A1">
                    <w:rPr>
                      <w:rFonts w:ascii="Arial" w:eastAsia="Times New Roman" w:hAnsi="Arial" w:cs="Arial"/>
                      <w:color w:val="000000"/>
                      <w:bdr w:val="none" w:sz="0" w:space="0" w:color="auto" w:frame="1"/>
                    </w:rPr>
                    <w:t> for additional </w:t>
                  </w:r>
                  <w:hyperlink r:id="rId6" w:tgtFrame="_blank" w:history="1">
                    <w:r w:rsidRPr="00AE23A1">
                      <w:rPr>
                        <w:rFonts w:ascii="Arial" w:eastAsia="Times New Roman" w:hAnsi="Arial" w:cs="Arial"/>
                        <w:color w:val="0000FF"/>
                        <w:u w:val="single"/>
                        <w:bdr w:val="none" w:sz="0" w:space="0" w:color="auto" w:frame="1"/>
                      </w:rPr>
                      <w:t>product information</w:t>
                    </w:r>
                  </w:hyperlink>
                  <w:r w:rsidRPr="00AE23A1">
                    <w:rPr>
                      <w:rFonts w:ascii="Arial" w:eastAsia="Times New Roman" w:hAnsi="Arial" w:cs="Arial"/>
                      <w:color w:val="000000"/>
                      <w:bdr w:val="none" w:sz="0" w:space="0" w:color="auto" w:frame="1"/>
                    </w:rPr>
                    <w:t> or to </w:t>
                  </w:r>
                  <w:hyperlink r:id="rId7" w:tgtFrame="_blank" w:history="1">
                    <w:r w:rsidRPr="00AE23A1">
                      <w:rPr>
                        <w:rFonts w:ascii="Arial" w:eastAsia="Times New Roman" w:hAnsi="Arial" w:cs="Arial"/>
                        <w:color w:val="0000FF"/>
                        <w:u w:val="single"/>
                        <w:bdr w:val="none" w:sz="0" w:space="0" w:color="auto" w:frame="1"/>
                      </w:rPr>
                      <w:t>run an illustration</w:t>
                    </w:r>
                  </w:hyperlink>
                  <w:r w:rsidRPr="00AE23A1">
                    <w:rPr>
                      <w:rFonts w:ascii="Arial" w:eastAsia="Times New Roman" w:hAnsi="Arial" w:cs="Arial"/>
                      <w:color w:val="000000"/>
                      <w:bdr w:val="none" w:sz="0" w:space="0" w:color="auto" w:frame="1"/>
                    </w:rPr>
                    <w:t>.</w:t>
                  </w:r>
                </w:p>
                <w:tbl>
                  <w:tblPr>
                    <w:tblW w:w="2766" w:type="dxa"/>
                    <w:tblCellSpacing w:w="0" w:type="dxa"/>
                    <w:shd w:val="clear" w:color="auto" w:fill="0067AC"/>
                    <w:tblCellMar>
                      <w:left w:w="0" w:type="dxa"/>
                      <w:right w:w="0" w:type="dxa"/>
                    </w:tblCellMar>
                    <w:tblLook w:val="04A0" w:firstRow="1" w:lastRow="0" w:firstColumn="1" w:lastColumn="0" w:noHBand="0" w:noVBand="1"/>
                  </w:tblPr>
                  <w:tblGrid>
                    <w:gridCol w:w="2766"/>
                  </w:tblGrid>
                  <w:tr w:rsidR="00AE23A1" w:rsidRPr="00AE23A1" w14:paraId="57DB2F5D" w14:textId="77777777" w:rsidTr="00AE23A1">
                    <w:trPr>
                      <w:trHeight w:val="256"/>
                      <w:tblCellSpacing w:w="0" w:type="dxa"/>
                    </w:trPr>
                    <w:tc>
                      <w:tcPr>
                        <w:tcW w:w="0" w:type="auto"/>
                        <w:shd w:val="clear" w:color="auto" w:fill="0067AC"/>
                        <w:tcMar>
                          <w:top w:w="120" w:type="dxa"/>
                          <w:left w:w="120" w:type="dxa"/>
                          <w:bottom w:w="120" w:type="dxa"/>
                          <w:right w:w="120" w:type="dxa"/>
                        </w:tcMar>
                        <w:vAlign w:val="center"/>
                        <w:hideMark/>
                      </w:tcPr>
                      <w:p w14:paraId="71DD74EA" w14:textId="77777777" w:rsidR="00AE23A1" w:rsidRPr="00AE23A1" w:rsidRDefault="00AE23A1" w:rsidP="00AE23A1">
                        <w:pPr>
                          <w:jc w:val="center"/>
                          <w:rPr>
                            <w:rFonts w:ascii="Calibri" w:eastAsia="Times New Roman" w:hAnsi="Calibri" w:cs="Calibri"/>
                            <w:sz w:val="22"/>
                            <w:szCs w:val="22"/>
                          </w:rPr>
                        </w:pPr>
                        <w:hyperlink r:id="rId8" w:tgtFrame="_blank" w:tooltip="New Rates" w:history="1">
                          <w:r w:rsidRPr="00AE23A1">
                            <w:rPr>
                              <w:rFonts w:ascii="Helvetica" w:eastAsia="Times New Roman" w:hAnsi="Helvetica" w:cs="Calibri"/>
                              <w:b/>
                              <w:bCs/>
                              <w:color w:val="FFFFFF"/>
                              <w:sz w:val="23"/>
                              <w:szCs w:val="23"/>
                              <w:u w:val="single"/>
                              <w:bdr w:val="none" w:sz="0" w:space="0" w:color="auto" w:frame="1"/>
                            </w:rPr>
                            <w:t>Go to Athene Connect</w:t>
                          </w:r>
                        </w:hyperlink>
                      </w:p>
                    </w:tc>
                  </w:tr>
                </w:tbl>
                <w:p w14:paraId="0EB4F474" w14:textId="77777777" w:rsidR="00AE23A1" w:rsidRPr="00AE23A1" w:rsidRDefault="00AE23A1" w:rsidP="00AE23A1">
                  <w:pPr>
                    <w:rPr>
                      <w:rFonts w:ascii="Times New Roman" w:eastAsia="Times New Roman" w:hAnsi="Times New Roman" w:cs="Times New Roman"/>
                      <w:vanish/>
                    </w:rPr>
                  </w:pPr>
                </w:p>
                <w:p w14:paraId="5CBE2B34" w14:textId="77777777" w:rsidR="00AE23A1" w:rsidRPr="00AE23A1" w:rsidRDefault="00AE23A1" w:rsidP="00AE23A1">
                  <w:pPr>
                    <w:spacing w:beforeAutospacing="1" w:afterAutospacing="1" w:line="360" w:lineRule="atLeast"/>
                    <w:rPr>
                      <w:rFonts w:ascii="Times New Roman" w:eastAsia="Times New Roman" w:hAnsi="Times New Roman" w:cs="Times New Roman"/>
                    </w:rPr>
                  </w:pPr>
                  <w:r w:rsidRPr="00AE23A1">
                    <w:rPr>
                      <w:rFonts w:ascii="Arial" w:eastAsia="Times New Roman" w:hAnsi="Arial" w:cs="Arial"/>
                      <w:color w:val="000000"/>
                      <w:bdr w:val="none" w:sz="0" w:space="0" w:color="auto" w:frame="1"/>
                    </w:rPr>
                    <w:t>These changes will be effective with a contract date on or after </w:t>
                  </w:r>
                  <w:r w:rsidRPr="00AE23A1">
                    <w:rPr>
                      <w:rFonts w:ascii="Arial" w:eastAsia="Times New Roman" w:hAnsi="Arial" w:cs="Arial"/>
                      <w:b/>
                      <w:bCs/>
                      <w:color w:val="000000"/>
                      <w:bdr w:val="none" w:sz="0" w:space="0" w:color="auto" w:frame="1"/>
                    </w:rPr>
                    <w:t>February 21, 2020</w:t>
                  </w:r>
                  <w:r w:rsidRPr="00AE23A1">
                    <w:rPr>
                      <w:rFonts w:ascii="Arial" w:eastAsia="Times New Roman" w:hAnsi="Arial" w:cs="Arial"/>
                      <w:color w:val="000000"/>
                      <w:bdr w:val="none" w:sz="0" w:space="0" w:color="auto" w:frame="1"/>
                    </w:rPr>
                    <w:t>. The contract effective date is the date the contract has been deemed in good order and all funds received. While we cannot reissue contracts, any pending business will receive the new rates if the contract date is on or after the rate change effective date.</w:t>
                  </w:r>
                </w:p>
                <w:p w14:paraId="068C54AB" w14:textId="77777777" w:rsidR="00AE23A1" w:rsidRPr="00AE23A1" w:rsidRDefault="00AE23A1" w:rsidP="00AE23A1">
                  <w:pPr>
                    <w:spacing w:beforeAutospacing="1" w:afterAutospacing="1" w:line="360" w:lineRule="atLeast"/>
                    <w:rPr>
                      <w:rFonts w:ascii="Times New Roman" w:eastAsia="Times New Roman" w:hAnsi="Times New Roman" w:cs="Times New Roman"/>
                    </w:rPr>
                  </w:pPr>
                  <w:r w:rsidRPr="00AE23A1">
                    <w:rPr>
                      <w:rFonts w:ascii="Arial" w:eastAsia="Times New Roman" w:hAnsi="Arial" w:cs="Arial"/>
                      <w:color w:val="000000"/>
                      <w:bdr w:val="none" w:sz="0" w:space="0" w:color="auto" w:frame="1"/>
                    </w:rPr>
                    <w:t>Revised materials will be available on </w:t>
                  </w:r>
                  <w:hyperlink r:id="rId9" w:tgtFrame="_blank" w:history="1">
                    <w:r w:rsidRPr="00AE23A1">
                      <w:rPr>
                        <w:rFonts w:ascii="Arial" w:eastAsia="Times New Roman" w:hAnsi="Arial" w:cs="Arial"/>
                        <w:color w:val="0000FF"/>
                        <w:u w:val="single"/>
                        <w:bdr w:val="none" w:sz="0" w:space="0" w:color="auto" w:frame="1"/>
                      </w:rPr>
                      <w:t>Athene Connect</w:t>
                    </w:r>
                  </w:hyperlink>
                  <w:r w:rsidRPr="00AE23A1">
                    <w:rPr>
                      <w:rFonts w:ascii="Arial" w:eastAsia="Times New Roman" w:hAnsi="Arial" w:cs="Arial"/>
                      <w:color w:val="000000"/>
                      <w:bdr w:val="none" w:sz="0" w:space="0" w:color="auto" w:frame="1"/>
                    </w:rPr>
                    <w:t> after </w:t>
                  </w:r>
                  <w:r w:rsidRPr="00AE23A1">
                    <w:rPr>
                      <w:rFonts w:ascii="Arial" w:eastAsia="Times New Roman" w:hAnsi="Arial" w:cs="Arial"/>
                      <w:b/>
                      <w:bCs/>
                      <w:color w:val="000000"/>
                      <w:bdr w:val="none" w:sz="0" w:space="0" w:color="auto" w:frame="1"/>
                    </w:rPr>
                    <w:t>4 p.m. CT today</w:t>
                  </w:r>
                  <w:r w:rsidRPr="00AE23A1">
                    <w:rPr>
                      <w:rFonts w:ascii="Arial" w:eastAsia="Times New Roman" w:hAnsi="Arial" w:cs="Arial"/>
                      <w:color w:val="000000"/>
                      <w:bdr w:val="none" w:sz="0" w:space="0" w:color="auto" w:frame="1"/>
                    </w:rPr>
                    <w:t>. Be sure to use up-to-date materials when offering Athene annuities. You may experience slight processing delays on any print orders in the days before or after a rate change effective date.</w:t>
                  </w:r>
                </w:p>
              </w:tc>
            </w:tr>
          </w:tbl>
          <w:p w14:paraId="11A544FE" w14:textId="77777777" w:rsidR="00AE23A1" w:rsidRPr="00AE23A1" w:rsidRDefault="00AE23A1" w:rsidP="00AE23A1">
            <w:pPr>
              <w:rPr>
                <w:rFonts w:ascii="Roboto" w:eastAsia="Times New Roman" w:hAnsi="Roboto" w:cs="Times New Roman"/>
                <w:vanish/>
                <w:color w:val="323130"/>
                <w:sz w:val="23"/>
                <w:szCs w:val="23"/>
              </w:rPr>
            </w:pPr>
          </w:p>
          <w:tbl>
            <w:tblPr>
              <w:tblW w:w="9000" w:type="dxa"/>
              <w:tblCellSpacing w:w="0" w:type="dxa"/>
              <w:tblCellMar>
                <w:left w:w="0" w:type="dxa"/>
                <w:right w:w="0" w:type="dxa"/>
              </w:tblCellMar>
              <w:tblLook w:val="04A0" w:firstRow="1" w:lastRow="0" w:firstColumn="1" w:lastColumn="0" w:noHBand="0" w:noVBand="1"/>
            </w:tblPr>
            <w:tblGrid>
              <w:gridCol w:w="9010"/>
            </w:tblGrid>
            <w:tr w:rsidR="00AE23A1" w:rsidRPr="00AE23A1" w14:paraId="1EF5F8C3" w14:textId="77777777">
              <w:trPr>
                <w:trHeight w:val="100"/>
                <w:tblCellSpacing w:w="0" w:type="dxa"/>
              </w:trPr>
              <w:tc>
                <w:tcPr>
                  <w:tcW w:w="0" w:type="auto"/>
                  <w:shd w:val="clear" w:color="auto" w:fill="FFFFFF"/>
                  <w:vAlign w:val="center"/>
                  <w:hideMark/>
                </w:tcPr>
                <w:p w14:paraId="0C547415" w14:textId="77777777" w:rsidR="00AE23A1" w:rsidRPr="00AE23A1" w:rsidRDefault="00AE23A1" w:rsidP="00AE23A1">
                  <w:pPr>
                    <w:spacing w:line="0" w:lineRule="atLeast"/>
                    <w:rPr>
                      <w:rFonts w:ascii="Calibri" w:eastAsia="Times New Roman" w:hAnsi="Calibri" w:cs="Calibri"/>
                      <w:sz w:val="22"/>
                      <w:szCs w:val="22"/>
                    </w:rPr>
                  </w:pPr>
                  <w:r w:rsidRPr="00AE23A1">
                    <w:rPr>
                      <w:rFonts w:ascii="inherit" w:eastAsia="Times New Roman" w:hAnsi="inherit" w:cs="Calibri"/>
                      <w:color w:val="000000"/>
                      <w:sz w:val="2"/>
                      <w:szCs w:val="2"/>
                      <w:bdr w:val="none" w:sz="0" w:space="0" w:color="auto" w:frame="1"/>
                    </w:rPr>
                    <w:t> </w:t>
                  </w:r>
                </w:p>
              </w:tc>
            </w:tr>
            <w:tr w:rsidR="00AE23A1" w:rsidRPr="00AE23A1" w14:paraId="2E0DA68E" w14:textId="77777777">
              <w:trPr>
                <w:tblCellSpacing w:w="0" w:type="dxa"/>
              </w:trPr>
              <w:tc>
                <w:tcPr>
                  <w:tcW w:w="0" w:type="auto"/>
                  <w:shd w:val="clear" w:color="auto" w:fill="FFFFFF"/>
                  <w:vAlign w:val="center"/>
                  <w:hideMark/>
                </w:tcPr>
                <w:p w14:paraId="5D550DFB" w14:textId="77777777" w:rsidR="00AE23A1" w:rsidRPr="00AE23A1" w:rsidRDefault="00AE23A1" w:rsidP="00AE23A1">
                  <w:pPr>
                    <w:spacing w:line="360" w:lineRule="atLeast"/>
                    <w:outlineLvl w:val="2"/>
                    <w:rPr>
                      <w:rFonts w:ascii="Calibri" w:eastAsia="Times New Roman" w:hAnsi="Calibri" w:cs="Calibri"/>
                      <w:b/>
                      <w:bCs/>
                      <w:sz w:val="27"/>
                      <w:szCs w:val="27"/>
                    </w:rPr>
                  </w:pPr>
                  <w:r w:rsidRPr="00AE23A1">
                    <w:rPr>
                      <w:rFonts w:ascii="Arial" w:eastAsia="Times New Roman" w:hAnsi="Arial" w:cs="Arial"/>
                      <w:b/>
                      <w:bCs/>
                      <w:color w:val="000000"/>
                      <w:sz w:val="27"/>
                      <w:szCs w:val="27"/>
                      <w:bdr w:val="none" w:sz="0" w:space="0" w:color="auto" w:frame="1"/>
                    </w:rPr>
                    <w:t>Athene Ascent Pro 7 Payout Factors</w:t>
                  </w:r>
                </w:p>
                <w:p w14:paraId="2306386B" w14:textId="77777777" w:rsidR="00AE23A1" w:rsidRPr="00AE23A1" w:rsidRDefault="00AE23A1" w:rsidP="00AE23A1">
                  <w:pPr>
                    <w:spacing w:beforeAutospacing="1" w:afterAutospacing="1" w:line="360" w:lineRule="atLeast"/>
                    <w:rPr>
                      <w:rFonts w:ascii="Times New Roman" w:eastAsia="Times New Roman" w:hAnsi="Times New Roman" w:cs="Times New Roman"/>
                    </w:rPr>
                  </w:pPr>
                  <w:r w:rsidRPr="00AE23A1">
                    <w:rPr>
                      <w:rFonts w:ascii="Arial" w:eastAsia="Times New Roman" w:hAnsi="Arial" w:cs="Arial"/>
                      <w:color w:val="000000"/>
                      <w:bdr w:val="none" w:sz="0" w:space="0" w:color="auto" w:frame="1"/>
                    </w:rPr>
                    <w:t>Download our Product Guide for rates and state approvals:</w:t>
                  </w:r>
                  <w:r w:rsidRPr="00AE23A1">
                    <w:rPr>
                      <w:rFonts w:ascii="Arial" w:eastAsia="Times New Roman" w:hAnsi="Arial" w:cs="Arial"/>
                      <w:color w:val="000000"/>
                      <w:bdr w:val="none" w:sz="0" w:space="0" w:color="auto" w:frame="1"/>
                    </w:rPr>
                    <w:br/>
                    <w:t>Most states: </w:t>
                  </w:r>
                  <w:hyperlink r:id="rId10" w:tgtFrame="_blank" w:history="1">
                    <w:r w:rsidRPr="00AE23A1">
                      <w:rPr>
                        <w:rFonts w:ascii="Arial" w:eastAsia="Times New Roman" w:hAnsi="Arial" w:cs="Arial"/>
                        <w:color w:val="0000FF"/>
                        <w:u w:val="single"/>
                        <w:bdr w:val="none" w:sz="0" w:space="0" w:color="auto" w:frame="1"/>
                      </w:rPr>
                      <w:t>Form 65218</w:t>
                    </w:r>
                  </w:hyperlink>
                  <w:r w:rsidRPr="00AE23A1">
                    <w:rPr>
                      <w:rFonts w:ascii="Arial" w:eastAsia="Times New Roman" w:hAnsi="Arial" w:cs="Arial"/>
                      <w:color w:val="000000"/>
                      <w:bdr w:val="none" w:sz="0" w:space="0" w:color="auto" w:frame="1"/>
                    </w:rPr>
                    <w:br/>
                    <w:t>Oregon: </w:t>
                  </w:r>
                  <w:hyperlink r:id="rId11" w:tgtFrame="_blank" w:history="1">
                    <w:r w:rsidRPr="00AE23A1">
                      <w:rPr>
                        <w:rFonts w:ascii="Arial" w:eastAsia="Times New Roman" w:hAnsi="Arial" w:cs="Arial"/>
                        <w:color w:val="0000FF"/>
                        <w:u w:val="single"/>
                        <w:bdr w:val="none" w:sz="0" w:space="0" w:color="auto" w:frame="1"/>
                      </w:rPr>
                      <w:t>Form 65287</w:t>
                    </w:r>
                  </w:hyperlink>
                </w:p>
                <w:p w14:paraId="40AF195E" w14:textId="77777777" w:rsidR="00AE23A1" w:rsidRPr="00AE23A1" w:rsidRDefault="00AE23A1" w:rsidP="00AE23A1">
                  <w:pPr>
                    <w:spacing w:beforeAutospacing="1" w:afterAutospacing="1" w:line="360" w:lineRule="atLeast"/>
                    <w:rPr>
                      <w:rFonts w:ascii="Times New Roman" w:eastAsia="Times New Roman" w:hAnsi="Times New Roman" w:cs="Times New Roman"/>
                    </w:rPr>
                  </w:pPr>
                  <w:r w:rsidRPr="00AE23A1">
                    <w:rPr>
                      <w:rFonts w:ascii="Arial" w:eastAsia="Times New Roman" w:hAnsi="Arial" w:cs="Arial"/>
                      <w:color w:val="000000"/>
                      <w:bdr w:val="none" w:sz="0" w:space="0" w:color="auto" w:frame="1"/>
                    </w:rPr>
                    <w:t>Download a detailed view of our Lifetime Income Withdrawal Percentages:</w:t>
                  </w:r>
                  <w:r w:rsidRPr="00AE23A1">
                    <w:rPr>
                      <w:rFonts w:ascii="Arial" w:eastAsia="Times New Roman" w:hAnsi="Arial" w:cs="Arial"/>
                      <w:color w:val="000000"/>
                      <w:bdr w:val="none" w:sz="0" w:space="0" w:color="auto" w:frame="1"/>
                    </w:rPr>
                    <w:br/>
                    <w:t>Most states: </w:t>
                  </w:r>
                  <w:hyperlink r:id="rId12" w:tgtFrame="_blank" w:history="1">
                    <w:r w:rsidRPr="00AE23A1">
                      <w:rPr>
                        <w:rFonts w:ascii="Arial" w:eastAsia="Times New Roman" w:hAnsi="Arial" w:cs="Arial"/>
                        <w:color w:val="0000FF"/>
                        <w:u w:val="single"/>
                        <w:bdr w:val="none" w:sz="0" w:space="0" w:color="auto" w:frame="1"/>
                      </w:rPr>
                      <w:t>Form 65258</w:t>
                    </w:r>
                  </w:hyperlink>
                  <w:r w:rsidRPr="00AE23A1">
                    <w:rPr>
                      <w:rFonts w:ascii="Arial" w:eastAsia="Times New Roman" w:hAnsi="Arial" w:cs="Arial"/>
                      <w:color w:val="000000"/>
                      <w:bdr w:val="none" w:sz="0" w:space="0" w:color="auto" w:frame="1"/>
                    </w:rPr>
                    <w:br/>
                    <w:t>Oregon: </w:t>
                  </w:r>
                  <w:hyperlink r:id="rId13" w:tgtFrame="_blank" w:history="1">
                    <w:r w:rsidRPr="00AE23A1">
                      <w:rPr>
                        <w:rFonts w:ascii="Arial" w:eastAsia="Times New Roman" w:hAnsi="Arial" w:cs="Arial"/>
                        <w:color w:val="0000FF"/>
                        <w:u w:val="single"/>
                        <w:bdr w:val="none" w:sz="0" w:space="0" w:color="auto" w:frame="1"/>
                      </w:rPr>
                      <w:t>Form 65291</w:t>
                    </w:r>
                  </w:hyperlink>
                </w:p>
                <w:tbl>
                  <w:tblPr>
                    <w:tblW w:w="9000" w:type="dxa"/>
                    <w:tblCellSpacing w:w="0" w:type="dxa"/>
                    <w:tblBorders>
                      <w:bottom w:val="single" w:sz="8" w:space="0" w:color="CCCCCC"/>
                    </w:tblBorders>
                    <w:tblCellMar>
                      <w:left w:w="0" w:type="dxa"/>
                      <w:right w:w="0" w:type="dxa"/>
                    </w:tblCellMar>
                    <w:tblLook w:val="04A0" w:firstRow="1" w:lastRow="0" w:firstColumn="1" w:lastColumn="0" w:noHBand="0" w:noVBand="1"/>
                  </w:tblPr>
                  <w:tblGrid>
                    <w:gridCol w:w="1185"/>
                    <w:gridCol w:w="1266"/>
                    <w:gridCol w:w="1296"/>
                    <w:gridCol w:w="1273"/>
                    <w:gridCol w:w="1296"/>
                    <w:gridCol w:w="1273"/>
                    <w:gridCol w:w="1411"/>
                  </w:tblGrid>
                  <w:tr w:rsidR="00AE23A1" w:rsidRPr="00AE23A1" w14:paraId="2FD226ED" w14:textId="77777777">
                    <w:trPr>
                      <w:tblCellSpacing w:w="0" w:type="dxa"/>
                    </w:trPr>
                    <w:tc>
                      <w:tcPr>
                        <w:tcW w:w="795" w:type="dxa"/>
                        <w:tcBorders>
                          <w:top w:val="nil"/>
                          <w:left w:val="nil"/>
                          <w:bottom w:val="nil"/>
                          <w:right w:val="single" w:sz="8" w:space="0" w:color="666666"/>
                        </w:tcBorders>
                        <w:shd w:val="clear" w:color="auto" w:fill="10175F"/>
                        <w:tcMar>
                          <w:top w:w="50" w:type="dxa"/>
                          <w:left w:w="50" w:type="dxa"/>
                          <w:bottom w:w="50" w:type="dxa"/>
                          <w:right w:w="50" w:type="dxa"/>
                        </w:tcMar>
                        <w:vAlign w:val="center"/>
                        <w:hideMark/>
                      </w:tcPr>
                      <w:p w14:paraId="186D0357" w14:textId="77777777" w:rsidR="00AE23A1" w:rsidRPr="00AE23A1" w:rsidRDefault="00AE23A1" w:rsidP="00AE23A1">
                        <w:pPr>
                          <w:spacing w:line="240" w:lineRule="atLeast"/>
                          <w:ind w:left="45" w:right="45"/>
                          <w:jc w:val="center"/>
                          <w:rPr>
                            <w:rFonts w:ascii="Times New Roman" w:eastAsia="Times New Roman" w:hAnsi="Times New Roman" w:cs="Times New Roman"/>
                          </w:rPr>
                        </w:pPr>
                        <w:r w:rsidRPr="00AE23A1">
                          <w:rPr>
                            <w:rFonts w:ascii="Arial" w:eastAsia="Times New Roman" w:hAnsi="Arial" w:cs="Arial"/>
                            <w:b/>
                            <w:bCs/>
                            <w:color w:val="FFFFFF"/>
                            <w:sz w:val="21"/>
                            <w:szCs w:val="21"/>
                            <w:bdr w:val="none" w:sz="0" w:space="0" w:color="auto" w:frame="1"/>
                          </w:rPr>
                          <w:t>Ascent Pro 7</w:t>
                        </w:r>
                      </w:p>
                    </w:tc>
                    <w:tc>
                      <w:tcPr>
                        <w:tcW w:w="7965" w:type="dxa"/>
                        <w:gridSpan w:val="6"/>
                        <w:tcBorders>
                          <w:top w:val="nil"/>
                          <w:left w:val="nil"/>
                          <w:bottom w:val="nil"/>
                          <w:right w:val="single" w:sz="8" w:space="0" w:color="666666"/>
                        </w:tcBorders>
                        <w:shd w:val="clear" w:color="auto" w:fill="10175F"/>
                        <w:tcMar>
                          <w:top w:w="50" w:type="dxa"/>
                          <w:left w:w="50" w:type="dxa"/>
                          <w:bottom w:w="50" w:type="dxa"/>
                          <w:right w:w="50" w:type="dxa"/>
                        </w:tcMar>
                        <w:vAlign w:val="center"/>
                        <w:hideMark/>
                      </w:tcPr>
                      <w:p w14:paraId="2925F26E"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1"/>
                            <w:szCs w:val="21"/>
                            <w:bdr w:val="none" w:sz="0" w:space="0" w:color="auto" w:frame="1"/>
                          </w:rPr>
                          <w:t>Single Life</w:t>
                        </w:r>
                        <w:r w:rsidRPr="00AE23A1">
                          <w:rPr>
                            <w:rFonts w:ascii="Arial" w:eastAsia="Times New Roman" w:hAnsi="Arial" w:cs="Arial"/>
                            <w:b/>
                            <w:bCs/>
                            <w:color w:val="FFFFFF"/>
                            <w:sz w:val="21"/>
                            <w:szCs w:val="21"/>
                            <w:bdr w:val="none" w:sz="0" w:space="0" w:color="auto" w:frame="1"/>
                            <w:vertAlign w:val="superscript"/>
                          </w:rPr>
                          <w:t>1</w:t>
                        </w:r>
                        <w:r w:rsidRPr="00AE23A1">
                          <w:rPr>
                            <w:rFonts w:ascii="Arial" w:eastAsia="Times New Roman" w:hAnsi="Arial" w:cs="Arial"/>
                            <w:b/>
                            <w:bCs/>
                            <w:color w:val="FFFFFF"/>
                            <w:sz w:val="21"/>
                            <w:szCs w:val="21"/>
                            <w:bdr w:val="none" w:sz="0" w:space="0" w:color="auto" w:frame="1"/>
                          </w:rPr>
                          <w:br/>
                          <w:t>Lifetime Income Withdrawal Percentages</w:t>
                        </w:r>
                      </w:p>
                    </w:tc>
                  </w:tr>
                  <w:tr w:rsidR="00AE23A1" w:rsidRPr="00AE23A1" w14:paraId="0F92CCEE" w14:textId="77777777">
                    <w:trPr>
                      <w:tblCellSpacing w:w="0" w:type="dxa"/>
                    </w:trPr>
                    <w:tc>
                      <w:tcPr>
                        <w:tcW w:w="795" w:type="dxa"/>
                        <w:tcBorders>
                          <w:top w:val="nil"/>
                          <w:left w:val="nil"/>
                          <w:bottom w:val="single" w:sz="8" w:space="0" w:color="666666"/>
                          <w:right w:val="single" w:sz="8" w:space="0" w:color="666666"/>
                        </w:tcBorders>
                        <w:shd w:val="clear" w:color="auto" w:fill="56A0D3"/>
                        <w:tcMar>
                          <w:top w:w="50" w:type="dxa"/>
                          <w:left w:w="50" w:type="dxa"/>
                          <w:bottom w:w="50" w:type="dxa"/>
                          <w:right w:w="50" w:type="dxa"/>
                        </w:tcMar>
                        <w:vAlign w:val="center"/>
                        <w:hideMark/>
                      </w:tcPr>
                      <w:p w14:paraId="2C2C1815" w14:textId="77777777" w:rsidR="00AE23A1" w:rsidRPr="00AE23A1" w:rsidRDefault="00AE23A1" w:rsidP="00AE23A1">
                        <w:pPr>
                          <w:spacing w:beforeAutospacing="1" w:afterAutospacing="1" w:line="210" w:lineRule="atLeast"/>
                          <w:jc w:val="center"/>
                          <w:rPr>
                            <w:rFonts w:ascii="Times New Roman" w:eastAsia="Times New Roman" w:hAnsi="Times New Roman" w:cs="Times New Roman"/>
                          </w:rPr>
                        </w:pPr>
                        <w:r w:rsidRPr="00AE23A1">
                          <w:rPr>
                            <w:rFonts w:ascii="Arial" w:eastAsia="Times New Roman" w:hAnsi="Arial" w:cs="Arial"/>
                            <w:color w:val="FFFFFF"/>
                            <w:sz w:val="21"/>
                            <w:szCs w:val="21"/>
                            <w:bdr w:val="none" w:sz="0" w:space="0" w:color="auto" w:frame="1"/>
                          </w:rPr>
                          <w:t> </w:t>
                        </w:r>
                      </w:p>
                    </w:tc>
                    <w:tc>
                      <w:tcPr>
                        <w:tcW w:w="2565" w:type="dxa"/>
                        <w:gridSpan w:val="2"/>
                        <w:tcBorders>
                          <w:top w:val="nil"/>
                          <w:left w:val="nil"/>
                          <w:bottom w:val="single" w:sz="8" w:space="0" w:color="666666"/>
                          <w:right w:val="single" w:sz="8" w:space="0" w:color="666666"/>
                        </w:tcBorders>
                        <w:shd w:val="clear" w:color="auto" w:fill="56A0D3"/>
                        <w:tcMar>
                          <w:top w:w="50" w:type="dxa"/>
                          <w:left w:w="50" w:type="dxa"/>
                          <w:bottom w:w="50" w:type="dxa"/>
                          <w:right w:w="50" w:type="dxa"/>
                        </w:tcMar>
                        <w:vAlign w:val="center"/>
                        <w:hideMark/>
                      </w:tcPr>
                      <w:p w14:paraId="32A4AA22" w14:textId="77777777" w:rsidR="00AE23A1" w:rsidRPr="00AE23A1" w:rsidRDefault="00AE23A1" w:rsidP="00AE23A1">
                        <w:pPr>
                          <w:spacing w:line="27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Level</w:t>
                        </w:r>
                        <w:r w:rsidRPr="00AE23A1">
                          <w:rPr>
                            <w:rFonts w:ascii="Arial" w:eastAsia="Times New Roman" w:hAnsi="Arial" w:cs="Arial"/>
                            <w:b/>
                            <w:bCs/>
                            <w:color w:val="FFFFFF"/>
                            <w:sz w:val="20"/>
                            <w:szCs w:val="20"/>
                            <w:bdr w:val="none" w:sz="0" w:space="0" w:color="auto" w:frame="1"/>
                            <w:vertAlign w:val="superscript"/>
                          </w:rPr>
                          <w:t>2</w:t>
                        </w:r>
                        <w:r w:rsidRPr="00AE23A1">
                          <w:rPr>
                            <w:rFonts w:ascii="Arial" w:eastAsia="Times New Roman" w:hAnsi="Arial" w:cs="Arial"/>
                            <w:color w:val="FFFFFF"/>
                            <w:sz w:val="20"/>
                            <w:szCs w:val="20"/>
                            <w:bdr w:val="none" w:sz="0" w:space="0" w:color="auto" w:frame="1"/>
                          </w:rPr>
                          <w:br/>
                          <w:t>(Current &amp; Guaranteed)</w:t>
                        </w:r>
                      </w:p>
                    </w:tc>
                    <w:tc>
                      <w:tcPr>
                        <w:tcW w:w="2580" w:type="dxa"/>
                        <w:gridSpan w:val="2"/>
                        <w:tcBorders>
                          <w:top w:val="nil"/>
                          <w:left w:val="nil"/>
                          <w:bottom w:val="single" w:sz="8" w:space="0" w:color="666666"/>
                          <w:right w:val="single" w:sz="8" w:space="0" w:color="666666"/>
                        </w:tcBorders>
                        <w:shd w:val="clear" w:color="auto" w:fill="56A0D3"/>
                        <w:tcMar>
                          <w:top w:w="50" w:type="dxa"/>
                          <w:left w:w="50" w:type="dxa"/>
                          <w:bottom w:w="50" w:type="dxa"/>
                          <w:right w:w="50" w:type="dxa"/>
                        </w:tcMar>
                        <w:vAlign w:val="center"/>
                        <w:hideMark/>
                      </w:tcPr>
                      <w:p w14:paraId="721F9F48" w14:textId="77777777" w:rsidR="00AE23A1" w:rsidRPr="00AE23A1" w:rsidRDefault="00AE23A1" w:rsidP="00AE23A1">
                        <w:pPr>
                          <w:spacing w:line="27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Earnings Indexed</w:t>
                        </w:r>
                        <w:r w:rsidRPr="00AE23A1">
                          <w:rPr>
                            <w:rFonts w:ascii="Arial" w:eastAsia="Times New Roman" w:hAnsi="Arial" w:cs="Arial"/>
                            <w:b/>
                            <w:bCs/>
                            <w:color w:val="FFFFFF"/>
                            <w:sz w:val="20"/>
                            <w:szCs w:val="20"/>
                            <w:bdr w:val="none" w:sz="0" w:space="0" w:color="auto" w:frame="1"/>
                            <w:vertAlign w:val="superscript"/>
                          </w:rPr>
                          <w:t>2</w:t>
                        </w:r>
                        <w:r w:rsidRPr="00AE23A1">
                          <w:rPr>
                            <w:rFonts w:ascii="Arial" w:eastAsia="Times New Roman" w:hAnsi="Arial" w:cs="Arial"/>
                            <w:color w:val="FFFFFF"/>
                            <w:sz w:val="20"/>
                            <w:szCs w:val="20"/>
                            <w:bdr w:val="none" w:sz="0" w:space="0" w:color="auto" w:frame="1"/>
                          </w:rPr>
                          <w:br/>
                          <w:t>(Current &amp; Guaranteed)</w:t>
                        </w:r>
                      </w:p>
                    </w:tc>
                    <w:tc>
                      <w:tcPr>
                        <w:tcW w:w="2580" w:type="dxa"/>
                        <w:gridSpan w:val="2"/>
                        <w:tcBorders>
                          <w:top w:val="nil"/>
                          <w:left w:val="nil"/>
                          <w:bottom w:val="single" w:sz="8" w:space="0" w:color="666666"/>
                          <w:right w:val="single" w:sz="8" w:space="0" w:color="666666"/>
                        </w:tcBorders>
                        <w:shd w:val="clear" w:color="auto" w:fill="56A0D3"/>
                        <w:tcMar>
                          <w:top w:w="50" w:type="dxa"/>
                          <w:left w:w="50" w:type="dxa"/>
                          <w:bottom w:w="50" w:type="dxa"/>
                          <w:right w:w="50" w:type="dxa"/>
                        </w:tcMar>
                        <w:hideMark/>
                      </w:tcPr>
                      <w:p w14:paraId="422E918E" w14:textId="77777777" w:rsidR="00AE23A1" w:rsidRPr="00AE23A1" w:rsidRDefault="00AE23A1" w:rsidP="00AE23A1">
                        <w:pPr>
                          <w:spacing w:line="27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Inflation</w:t>
                        </w:r>
                        <w:r w:rsidRPr="00AE23A1">
                          <w:rPr>
                            <w:rFonts w:ascii="Arial" w:eastAsia="Times New Roman" w:hAnsi="Arial" w:cs="Arial"/>
                            <w:b/>
                            <w:bCs/>
                            <w:color w:val="FFFFFF"/>
                            <w:sz w:val="20"/>
                            <w:szCs w:val="20"/>
                            <w:bdr w:val="none" w:sz="0" w:space="0" w:color="auto" w:frame="1"/>
                            <w:vertAlign w:val="superscript"/>
                          </w:rPr>
                          <w:t>2,3</w:t>
                        </w:r>
                        <w:r w:rsidRPr="00AE23A1">
                          <w:rPr>
                            <w:rFonts w:ascii="Arial" w:eastAsia="Times New Roman" w:hAnsi="Arial" w:cs="Arial"/>
                            <w:color w:val="FFFFFF"/>
                            <w:sz w:val="20"/>
                            <w:szCs w:val="20"/>
                            <w:bdr w:val="none" w:sz="0" w:space="0" w:color="auto" w:frame="1"/>
                          </w:rPr>
                          <w:br/>
                          <w:t>(Guaranteed)</w:t>
                        </w:r>
                      </w:p>
                    </w:tc>
                  </w:tr>
                  <w:tr w:rsidR="00AE23A1" w:rsidRPr="00AE23A1" w14:paraId="27307AF7" w14:textId="77777777">
                    <w:trPr>
                      <w:tblCellSpacing w:w="0" w:type="dxa"/>
                    </w:trPr>
                    <w:tc>
                      <w:tcPr>
                        <w:tcW w:w="815" w:type="dxa"/>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0DCC7FDC"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lastRenderedPageBreak/>
                          <w:t>Attained Age:</w:t>
                        </w:r>
                      </w:p>
                    </w:tc>
                    <w:tc>
                      <w:tcPr>
                        <w:tcW w:w="1235" w:type="dxa"/>
                        <w:tcBorders>
                          <w:top w:val="nil"/>
                          <w:left w:val="nil"/>
                          <w:bottom w:val="single" w:sz="8" w:space="0" w:color="666666"/>
                          <w:right w:val="nil"/>
                        </w:tcBorders>
                        <w:shd w:val="clear" w:color="auto" w:fill="CCCCCC"/>
                        <w:tcMar>
                          <w:top w:w="50" w:type="dxa"/>
                          <w:left w:w="50" w:type="dxa"/>
                          <w:bottom w:w="50" w:type="dxa"/>
                          <w:right w:w="50" w:type="dxa"/>
                        </w:tcMar>
                        <w:vAlign w:val="center"/>
                        <w:hideMark/>
                      </w:tcPr>
                      <w:p w14:paraId="7951D3A4"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333333"/>
                            <w:sz w:val="20"/>
                            <w:szCs w:val="20"/>
                            <w:bdr w:val="none" w:sz="0" w:space="0" w:color="auto" w:frame="1"/>
                          </w:rPr>
                          <w:t>Current</w:t>
                        </w:r>
                      </w:p>
                    </w:tc>
                    <w:tc>
                      <w:tcPr>
                        <w:tcW w:w="1230" w:type="dxa"/>
                        <w:tcBorders>
                          <w:top w:val="nil"/>
                          <w:left w:val="nil"/>
                          <w:bottom w:val="single" w:sz="8" w:space="0" w:color="666666"/>
                          <w:right w:val="single" w:sz="8" w:space="0" w:color="666666"/>
                        </w:tcBorders>
                        <w:shd w:val="clear" w:color="auto" w:fill="56A0D3"/>
                        <w:tcMar>
                          <w:top w:w="50" w:type="dxa"/>
                          <w:left w:w="50" w:type="dxa"/>
                          <w:bottom w:w="50" w:type="dxa"/>
                          <w:right w:w="50" w:type="dxa"/>
                        </w:tcMar>
                        <w:vAlign w:val="center"/>
                        <w:hideMark/>
                      </w:tcPr>
                      <w:p w14:paraId="533127AC"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New</w:t>
                        </w:r>
                      </w:p>
                    </w:tc>
                    <w:tc>
                      <w:tcPr>
                        <w:tcW w:w="1250" w:type="dxa"/>
                        <w:tcBorders>
                          <w:top w:val="nil"/>
                          <w:left w:val="nil"/>
                          <w:bottom w:val="single" w:sz="8" w:space="0" w:color="666666"/>
                          <w:right w:val="nil"/>
                        </w:tcBorders>
                        <w:shd w:val="clear" w:color="auto" w:fill="CCCCCC"/>
                        <w:tcMar>
                          <w:top w:w="50" w:type="dxa"/>
                          <w:left w:w="50" w:type="dxa"/>
                          <w:bottom w:w="50" w:type="dxa"/>
                          <w:right w:w="50" w:type="dxa"/>
                        </w:tcMar>
                        <w:vAlign w:val="center"/>
                        <w:hideMark/>
                      </w:tcPr>
                      <w:p w14:paraId="1FCBDD4F"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333333"/>
                            <w:sz w:val="20"/>
                            <w:szCs w:val="20"/>
                            <w:bdr w:val="none" w:sz="0" w:space="0" w:color="auto" w:frame="1"/>
                          </w:rPr>
                          <w:t>Current</w:t>
                        </w:r>
                      </w:p>
                    </w:tc>
                    <w:tc>
                      <w:tcPr>
                        <w:tcW w:w="1230" w:type="dxa"/>
                        <w:tcBorders>
                          <w:top w:val="nil"/>
                          <w:left w:val="nil"/>
                          <w:bottom w:val="single" w:sz="8" w:space="0" w:color="666666"/>
                          <w:right w:val="single" w:sz="8" w:space="0" w:color="666666"/>
                        </w:tcBorders>
                        <w:shd w:val="clear" w:color="auto" w:fill="56A0D3"/>
                        <w:tcMar>
                          <w:top w:w="50" w:type="dxa"/>
                          <w:left w:w="50" w:type="dxa"/>
                          <w:bottom w:w="50" w:type="dxa"/>
                          <w:right w:w="50" w:type="dxa"/>
                        </w:tcMar>
                        <w:vAlign w:val="center"/>
                        <w:hideMark/>
                      </w:tcPr>
                      <w:p w14:paraId="6AF5E1C9"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New</w:t>
                        </w:r>
                      </w:p>
                    </w:tc>
                    <w:tc>
                      <w:tcPr>
                        <w:tcW w:w="1250" w:type="dxa"/>
                        <w:tcBorders>
                          <w:top w:val="nil"/>
                          <w:left w:val="nil"/>
                          <w:bottom w:val="single" w:sz="8" w:space="0" w:color="666666"/>
                          <w:right w:val="nil"/>
                        </w:tcBorders>
                        <w:shd w:val="clear" w:color="auto" w:fill="CCCCCC"/>
                        <w:tcMar>
                          <w:top w:w="50" w:type="dxa"/>
                          <w:left w:w="50" w:type="dxa"/>
                          <w:bottom w:w="50" w:type="dxa"/>
                          <w:right w:w="50" w:type="dxa"/>
                        </w:tcMar>
                        <w:vAlign w:val="center"/>
                        <w:hideMark/>
                      </w:tcPr>
                      <w:p w14:paraId="75E3BDCC"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333333"/>
                            <w:sz w:val="20"/>
                            <w:szCs w:val="20"/>
                            <w:bdr w:val="none" w:sz="0" w:space="0" w:color="auto" w:frame="1"/>
                          </w:rPr>
                          <w:t>Current</w:t>
                        </w:r>
                      </w:p>
                    </w:tc>
                    <w:tc>
                      <w:tcPr>
                        <w:tcW w:w="1230" w:type="dxa"/>
                        <w:tcBorders>
                          <w:top w:val="nil"/>
                          <w:left w:val="nil"/>
                          <w:bottom w:val="single" w:sz="8" w:space="0" w:color="666666"/>
                          <w:right w:val="single" w:sz="8" w:space="0" w:color="666666"/>
                        </w:tcBorders>
                        <w:shd w:val="clear" w:color="auto" w:fill="56A0D3"/>
                        <w:tcMar>
                          <w:top w:w="50" w:type="dxa"/>
                          <w:left w:w="50" w:type="dxa"/>
                          <w:bottom w:w="50" w:type="dxa"/>
                          <w:right w:w="50" w:type="dxa"/>
                        </w:tcMar>
                        <w:vAlign w:val="center"/>
                        <w:hideMark/>
                      </w:tcPr>
                      <w:p w14:paraId="3CF53CF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New</w:t>
                        </w:r>
                      </w:p>
                    </w:tc>
                  </w:tr>
                  <w:tr w:rsidR="00AE23A1" w:rsidRPr="00AE23A1" w14:paraId="2005F1BC"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09EA2828"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50-54</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77133283"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3.10%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3685BD55"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3.40%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43BD3587"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2.50%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4CBB591A"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2.80%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4A562B3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1.39%</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66C49E9E"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1.53%</w:t>
                        </w:r>
                      </w:p>
                    </w:tc>
                  </w:tr>
                  <w:tr w:rsidR="00AE23A1" w:rsidRPr="00AE23A1" w14:paraId="24EB4BA9"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1F178713"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55-59</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64A5AC35"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3.10%+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42CC51F5"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3.40%+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337102A4"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2.50%+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117F10DE"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2.80%+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52B6CC78"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1.39%+</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49CEFDCC"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1.53%+</w:t>
                        </w:r>
                      </w:p>
                    </w:tc>
                  </w:tr>
                  <w:tr w:rsidR="00AE23A1" w:rsidRPr="00AE23A1" w14:paraId="269A2D3A"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71C24FFC"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60-64</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46835C39"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3.60%+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3875E347"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3.90%+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1D9CFC34"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3.00%+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2A840F77"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3.30%+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27520107"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1.62%+</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0FFE373F"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1.75%+</w:t>
                        </w:r>
                      </w:p>
                    </w:tc>
                  </w:tr>
                  <w:tr w:rsidR="00AE23A1" w:rsidRPr="00AE23A1" w14:paraId="04E60684"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03C5CC89"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65-69</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56445BAA"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4.10%+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177D75EE"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4.40%+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4321F7E3"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3.50%+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092FA3CC"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3.80%+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03AB84E8"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1.84%+</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661669CF"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1.98%+</w:t>
                        </w:r>
                      </w:p>
                    </w:tc>
                  </w:tr>
                  <w:tr w:rsidR="00AE23A1" w:rsidRPr="00AE23A1" w14:paraId="5E331548"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0794A10A"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70-74</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6BF2C11D"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4.60%+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5AE7767C"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4.90%+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7CB9641C"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4.00%+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6F428A0B"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4.30%+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66B6BC35"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2.07%+</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0B5F32F8"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2.20%+</w:t>
                        </w:r>
                      </w:p>
                    </w:tc>
                  </w:tr>
                  <w:tr w:rsidR="00AE23A1" w:rsidRPr="00AE23A1" w14:paraId="7B489CA6"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68C4460B"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75-79</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4CBFFA7F"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5.10%+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7BF9C68E"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5.40%+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38432F6C"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4.50%+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047F0333"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4.80%+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17AA8183"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2.29%+</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03374B18"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2.43%+</w:t>
                        </w:r>
                      </w:p>
                    </w:tc>
                  </w:tr>
                  <w:tr w:rsidR="00AE23A1" w:rsidRPr="00AE23A1" w14:paraId="3B4CA837"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2BAE90B5"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80-84</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62F238A8"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5.60%+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01747B1F"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5.90%+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6CA411ED"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5.00%+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6D509DBE"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5.30%+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48C075F0"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2.52%+</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1A795207"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2.65%+</w:t>
                        </w:r>
                      </w:p>
                    </w:tc>
                  </w:tr>
                  <w:tr w:rsidR="00AE23A1" w:rsidRPr="00AE23A1" w14:paraId="337B9464"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06DE1F60"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85-89</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12664DBD"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6.10%+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79C11769"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6.40%+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7FAC097B"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5.50%+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05F4BB15"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5.80%+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18B9D0CD"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2.74%+</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2B8BF67B"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2.88%+</w:t>
                        </w:r>
                      </w:p>
                    </w:tc>
                  </w:tr>
                  <w:tr w:rsidR="00AE23A1" w:rsidRPr="00AE23A1" w14:paraId="3A1453A0"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26F893A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90+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2945208C"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6.60%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5BFE5B25"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6.90%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47FB94CD"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6.00%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198847B4"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6.30%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1C3385F5"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2.97%</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7FA6B901"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3.10%</w:t>
                        </w:r>
                      </w:p>
                    </w:tc>
                  </w:tr>
                  <w:tr w:rsidR="00AE23A1" w:rsidRPr="00AE23A1" w14:paraId="7474862E" w14:textId="77777777">
                    <w:trPr>
                      <w:tblCellSpacing w:w="0" w:type="dxa"/>
                    </w:trPr>
                    <w:tc>
                      <w:tcPr>
                        <w:tcW w:w="0" w:type="auto"/>
                        <w:gridSpan w:val="7"/>
                        <w:tcBorders>
                          <w:top w:val="nil"/>
                          <w:left w:val="nil"/>
                          <w:bottom w:val="single" w:sz="8" w:space="0" w:color="666666"/>
                          <w:right w:val="nil"/>
                        </w:tcBorders>
                        <w:shd w:val="clear" w:color="auto" w:fill="FFFFFF"/>
                        <w:tcMar>
                          <w:top w:w="50" w:type="dxa"/>
                          <w:left w:w="50" w:type="dxa"/>
                          <w:bottom w:w="50" w:type="dxa"/>
                          <w:right w:w="50" w:type="dxa"/>
                        </w:tcMar>
                        <w:vAlign w:val="center"/>
                        <w:hideMark/>
                      </w:tcPr>
                      <w:p w14:paraId="38D8E922" w14:textId="77777777" w:rsidR="00AE23A1" w:rsidRPr="00AE23A1" w:rsidRDefault="00AE23A1" w:rsidP="00AE23A1">
                        <w:pPr>
                          <w:spacing w:beforeAutospacing="1" w:afterAutospacing="1" w:line="240" w:lineRule="atLeast"/>
                          <w:rPr>
                            <w:rFonts w:ascii="Times New Roman" w:eastAsia="Times New Roman" w:hAnsi="Times New Roman" w:cs="Times New Roman"/>
                          </w:rPr>
                        </w:pPr>
                        <w:r w:rsidRPr="00AE23A1">
                          <w:rPr>
                            <w:rFonts w:ascii="Arial" w:eastAsia="Times New Roman" w:hAnsi="Arial" w:cs="Arial"/>
                            <w:color w:val="000000"/>
                            <w:sz w:val="20"/>
                            <w:szCs w:val="20"/>
                            <w:bdr w:val="none" w:sz="0" w:space="0" w:color="auto" w:frame="1"/>
                          </w:rPr>
                          <w:t>1 Subtract 0.5% from the Single Life withdrawal percentage to determine the current Joint Life withdrawal percentage.</w:t>
                        </w:r>
                        <w:r w:rsidRPr="00AE23A1">
                          <w:rPr>
                            <w:rFonts w:ascii="Arial" w:eastAsia="Times New Roman" w:hAnsi="Arial" w:cs="Arial"/>
                            <w:color w:val="000000"/>
                            <w:sz w:val="20"/>
                            <w:szCs w:val="20"/>
                            <w:bdr w:val="none" w:sz="0" w:space="0" w:color="auto" w:frame="1"/>
                          </w:rPr>
                          <w:br/>
                          <w:t>2 Beginning at age 55, the Lifetime Income Withdrawal Percentage will increase by 0.1% each year for the Level and Earnings Indexed options. Beginning at age 55, the Lifetime Income Withdrawal Percentage will increase by 0.045% each year for the Inflation option.</w:t>
                        </w:r>
                        <w:r w:rsidRPr="00AE23A1">
                          <w:rPr>
                            <w:rFonts w:ascii="Arial" w:eastAsia="Times New Roman" w:hAnsi="Arial" w:cs="Arial"/>
                            <w:color w:val="000000"/>
                            <w:sz w:val="20"/>
                            <w:szCs w:val="20"/>
                            <w:bdr w:val="none" w:sz="0" w:space="0" w:color="auto" w:frame="1"/>
                          </w:rPr>
                          <w:br/>
                          <w:t>3 Guaranteed rates may be lower than current rates. Please contact the Company for current rates when your customer wants to elect income.</w:t>
                        </w:r>
                      </w:p>
                    </w:tc>
                  </w:tr>
                </w:tbl>
                <w:p w14:paraId="354C81D5" w14:textId="77777777" w:rsidR="00AE23A1" w:rsidRPr="00AE23A1" w:rsidRDefault="00AE23A1" w:rsidP="00AE23A1">
                  <w:pPr>
                    <w:rPr>
                      <w:rFonts w:ascii="Times New Roman" w:eastAsia="Times New Roman" w:hAnsi="Times New Roman" w:cs="Times New Roman"/>
                      <w:vanish/>
                    </w:rPr>
                  </w:pPr>
                </w:p>
                <w:tbl>
                  <w:tblPr>
                    <w:tblW w:w="0" w:type="auto"/>
                    <w:tblCellSpacing w:w="30" w:type="dxa"/>
                    <w:tblCellMar>
                      <w:left w:w="0" w:type="dxa"/>
                      <w:right w:w="0" w:type="dxa"/>
                    </w:tblCellMar>
                    <w:tblLook w:val="04A0" w:firstRow="1" w:lastRow="0" w:firstColumn="1" w:lastColumn="0" w:noHBand="0" w:noVBand="1"/>
                  </w:tblPr>
                  <w:tblGrid>
                    <w:gridCol w:w="156"/>
                  </w:tblGrid>
                  <w:tr w:rsidR="00AE23A1" w:rsidRPr="00AE23A1" w14:paraId="2F4D3967" w14:textId="77777777">
                    <w:trPr>
                      <w:trHeight w:val="200"/>
                      <w:tblCellSpacing w:w="30" w:type="dxa"/>
                    </w:trPr>
                    <w:tc>
                      <w:tcPr>
                        <w:tcW w:w="0" w:type="auto"/>
                        <w:shd w:val="clear" w:color="auto" w:fill="FFFFFF"/>
                        <w:tcMar>
                          <w:top w:w="15" w:type="dxa"/>
                          <w:left w:w="15" w:type="dxa"/>
                          <w:bottom w:w="15" w:type="dxa"/>
                          <w:right w:w="15" w:type="dxa"/>
                        </w:tcMar>
                        <w:vAlign w:val="center"/>
                        <w:hideMark/>
                      </w:tcPr>
                      <w:p w14:paraId="531D8A3D" w14:textId="77777777" w:rsidR="00AE23A1" w:rsidRPr="00AE23A1" w:rsidRDefault="00AE23A1" w:rsidP="00AE23A1">
                        <w:pPr>
                          <w:spacing w:line="300" w:lineRule="atLeast"/>
                          <w:rPr>
                            <w:rFonts w:ascii="Calibri" w:eastAsia="Times New Roman" w:hAnsi="Calibri" w:cs="Calibri"/>
                            <w:sz w:val="22"/>
                            <w:szCs w:val="22"/>
                          </w:rPr>
                        </w:pPr>
                        <w:r w:rsidRPr="00AE23A1">
                          <w:rPr>
                            <w:rFonts w:ascii="inherit" w:eastAsia="Times New Roman" w:hAnsi="inherit" w:cs="Calibri"/>
                            <w:color w:val="000000"/>
                            <w:sz w:val="2"/>
                            <w:szCs w:val="2"/>
                            <w:bdr w:val="none" w:sz="0" w:space="0" w:color="auto" w:frame="1"/>
                          </w:rPr>
                          <w:t> </w:t>
                        </w:r>
                      </w:p>
                    </w:tc>
                  </w:tr>
                </w:tbl>
                <w:p w14:paraId="409FE5D5" w14:textId="77777777" w:rsidR="00AE23A1" w:rsidRPr="00AE23A1" w:rsidRDefault="00AE23A1" w:rsidP="00AE23A1">
                  <w:pPr>
                    <w:spacing w:line="360" w:lineRule="atLeast"/>
                    <w:outlineLvl w:val="2"/>
                    <w:rPr>
                      <w:rFonts w:ascii="Calibri" w:eastAsia="Times New Roman" w:hAnsi="Calibri" w:cs="Calibri"/>
                      <w:b/>
                      <w:bCs/>
                      <w:sz w:val="27"/>
                      <w:szCs w:val="27"/>
                    </w:rPr>
                  </w:pPr>
                  <w:r w:rsidRPr="00AE23A1">
                    <w:rPr>
                      <w:rFonts w:ascii="Arial" w:eastAsia="Times New Roman" w:hAnsi="Arial" w:cs="Arial"/>
                      <w:b/>
                      <w:bCs/>
                      <w:color w:val="000000"/>
                      <w:sz w:val="27"/>
                      <w:szCs w:val="27"/>
                      <w:bdr w:val="none" w:sz="0" w:space="0" w:color="auto" w:frame="1"/>
                    </w:rPr>
                    <w:t>Athene Ascent Pro 10 Payout Factors</w:t>
                  </w:r>
                </w:p>
                <w:p w14:paraId="5140E5CF" w14:textId="77777777" w:rsidR="00AE23A1" w:rsidRPr="00AE23A1" w:rsidRDefault="00AE23A1" w:rsidP="00AE23A1">
                  <w:pPr>
                    <w:spacing w:beforeAutospacing="1" w:afterAutospacing="1" w:line="360" w:lineRule="atLeast"/>
                    <w:rPr>
                      <w:rFonts w:ascii="Times New Roman" w:eastAsia="Times New Roman" w:hAnsi="Times New Roman" w:cs="Times New Roman"/>
                    </w:rPr>
                  </w:pPr>
                  <w:r w:rsidRPr="00AE23A1">
                    <w:rPr>
                      <w:rFonts w:ascii="Arial" w:eastAsia="Times New Roman" w:hAnsi="Arial" w:cs="Arial"/>
                      <w:color w:val="000000"/>
                      <w:bdr w:val="none" w:sz="0" w:space="0" w:color="auto" w:frame="1"/>
                    </w:rPr>
                    <w:t>Download our Product Guide for rates and state approvals:</w:t>
                  </w:r>
                  <w:r w:rsidRPr="00AE23A1">
                    <w:rPr>
                      <w:rFonts w:ascii="Arial" w:eastAsia="Times New Roman" w:hAnsi="Arial" w:cs="Arial"/>
                      <w:color w:val="000000"/>
                      <w:bdr w:val="none" w:sz="0" w:space="0" w:color="auto" w:frame="1"/>
                    </w:rPr>
                    <w:br/>
                    <w:t>Most states: </w:t>
                  </w:r>
                  <w:hyperlink r:id="rId14" w:tgtFrame="_blank" w:history="1">
                    <w:r w:rsidRPr="00AE23A1">
                      <w:rPr>
                        <w:rFonts w:ascii="Arial" w:eastAsia="Times New Roman" w:hAnsi="Arial" w:cs="Arial"/>
                        <w:color w:val="0000FF"/>
                        <w:u w:val="single"/>
                        <w:bdr w:val="none" w:sz="0" w:space="0" w:color="auto" w:frame="1"/>
                      </w:rPr>
                      <w:t>Form 65219</w:t>
                    </w:r>
                  </w:hyperlink>
                  <w:r w:rsidRPr="00AE23A1">
                    <w:rPr>
                      <w:rFonts w:ascii="Arial" w:eastAsia="Times New Roman" w:hAnsi="Arial" w:cs="Arial"/>
                      <w:color w:val="000000"/>
                      <w:bdr w:val="none" w:sz="0" w:space="0" w:color="auto" w:frame="1"/>
                    </w:rPr>
                    <w:br/>
                    <w:t>Oregon: </w:t>
                  </w:r>
                  <w:hyperlink r:id="rId15" w:tgtFrame="_blank" w:history="1">
                    <w:r w:rsidRPr="00AE23A1">
                      <w:rPr>
                        <w:rFonts w:ascii="Arial" w:eastAsia="Times New Roman" w:hAnsi="Arial" w:cs="Arial"/>
                        <w:color w:val="0000FF"/>
                        <w:u w:val="single"/>
                        <w:bdr w:val="none" w:sz="0" w:space="0" w:color="auto" w:frame="1"/>
                      </w:rPr>
                      <w:t>Form 65288</w:t>
                    </w:r>
                  </w:hyperlink>
                </w:p>
                <w:p w14:paraId="41BD1057" w14:textId="77777777" w:rsidR="00AE23A1" w:rsidRPr="00AE23A1" w:rsidRDefault="00AE23A1" w:rsidP="00AE23A1">
                  <w:pPr>
                    <w:spacing w:beforeAutospacing="1" w:afterAutospacing="1" w:line="360" w:lineRule="atLeast"/>
                    <w:rPr>
                      <w:rFonts w:ascii="Times New Roman" w:eastAsia="Times New Roman" w:hAnsi="Times New Roman" w:cs="Times New Roman"/>
                    </w:rPr>
                  </w:pPr>
                  <w:r w:rsidRPr="00AE23A1">
                    <w:rPr>
                      <w:rFonts w:ascii="Arial" w:eastAsia="Times New Roman" w:hAnsi="Arial" w:cs="Arial"/>
                      <w:color w:val="000000"/>
                      <w:bdr w:val="none" w:sz="0" w:space="0" w:color="auto" w:frame="1"/>
                    </w:rPr>
                    <w:t>Download a detailed view of our Lifetime Income Withdrawal Percentages:</w:t>
                  </w:r>
                  <w:r w:rsidRPr="00AE23A1">
                    <w:rPr>
                      <w:rFonts w:ascii="Arial" w:eastAsia="Times New Roman" w:hAnsi="Arial" w:cs="Arial"/>
                      <w:color w:val="000000"/>
                      <w:bdr w:val="none" w:sz="0" w:space="0" w:color="auto" w:frame="1"/>
                    </w:rPr>
                    <w:br/>
                    <w:t>Most states: </w:t>
                  </w:r>
                  <w:hyperlink r:id="rId16" w:tgtFrame="_blank" w:history="1">
                    <w:r w:rsidRPr="00AE23A1">
                      <w:rPr>
                        <w:rFonts w:ascii="Arial" w:eastAsia="Times New Roman" w:hAnsi="Arial" w:cs="Arial"/>
                        <w:color w:val="0000FF"/>
                        <w:u w:val="single"/>
                        <w:bdr w:val="none" w:sz="0" w:space="0" w:color="auto" w:frame="1"/>
                      </w:rPr>
                      <w:t>Form 65257</w:t>
                    </w:r>
                  </w:hyperlink>
                  <w:r w:rsidRPr="00AE23A1">
                    <w:rPr>
                      <w:rFonts w:ascii="Arial" w:eastAsia="Times New Roman" w:hAnsi="Arial" w:cs="Arial"/>
                      <w:color w:val="000000"/>
                      <w:bdr w:val="none" w:sz="0" w:space="0" w:color="auto" w:frame="1"/>
                    </w:rPr>
                    <w:br/>
                    <w:t>Oregon: </w:t>
                  </w:r>
                  <w:hyperlink r:id="rId17" w:tgtFrame="_blank" w:history="1">
                    <w:r w:rsidRPr="00AE23A1">
                      <w:rPr>
                        <w:rFonts w:ascii="Arial" w:eastAsia="Times New Roman" w:hAnsi="Arial" w:cs="Arial"/>
                        <w:color w:val="0000FF"/>
                        <w:u w:val="single"/>
                        <w:bdr w:val="none" w:sz="0" w:space="0" w:color="auto" w:frame="1"/>
                      </w:rPr>
                      <w:t>Form 65290</w:t>
                    </w:r>
                  </w:hyperlink>
                </w:p>
                <w:tbl>
                  <w:tblPr>
                    <w:tblW w:w="9000" w:type="dxa"/>
                    <w:tblCellSpacing w:w="0" w:type="dxa"/>
                    <w:tblBorders>
                      <w:bottom w:val="single" w:sz="8" w:space="0" w:color="CCCCCC"/>
                    </w:tblBorders>
                    <w:tblCellMar>
                      <w:left w:w="0" w:type="dxa"/>
                      <w:right w:w="0" w:type="dxa"/>
                    </w:tblCellMar>
                    <w:tblLook w:val="04A0" w:firstRow="1" w:lastRow="0" w:firstColumn="1" w:lastColumn="0" w:noHBand="0" w:noVBand="1"/>
                  </w:tblPr>
                  <w:tblGrid>
                    <w:gridCol w:w="1185"/>
                    <w:gridCol w:w="1266"/>
                    <w:gridCol w:w="1296"/>
                    <w:gridCol w:w="1273"/>
                    <w:gridCol w:w="1296"/>
                    <w:gridCol w:w="1273"/>
                    <w:gridCol w:w="1411"/>
                  </w:tblGrid>
                  <w:tr w:rsidR="00AE23A1" w:rsidRPr="00AE23A1" w14:paraId="10D59C9C" w14:textId="77777777">
                    <w:trPr>
                      <w:tblCellSpacing w:w="0" w:type="dxa"/>
                    </w:trPr>
                    <w:tc>
                      <w:tcPr>
                        <w:tcW w:w="795" w:type="dxa"/>
                        <w:tcBorders>
                          <w:top w:val="nil"/>
                          <w:left w:val="nil"/>
                          <w:bottom w:val="nil"/>
                          <w:right w:val="single" w:sz="8" w:space="0" w:color="666666"/>
                        </w:tcBorders>
                        <w:shd w:val="clear" w:color="auto" w:fill="10175F"/>
                        <w:tcMar>
                          <w:top w:w="50" w:type="dxa"/>
                          <w:left w:w="50" w:type="dxa"/>
                          <w:bottom w:w="50" w:type="dxa"/>
                          <w:right w:w="50" w:type="dxa"/>
                        </w:tcMar>
                        <w:vAlign w:val="center"/>
                        <w:hideMark/>
                      </w:tcPr>
                      <w:p w14:paraId="0D28A0CA" w14:textId="77777777" w:rsidR="00AE23A1" w:rsidRPr="00AE23A1" w:rsidRDefault="00AE23A1" w:rsidP="00AE23A1">
                        <w:pPr>
                          <w:spacing w:line="240" w:lineRule="atLeast"/>
                          <w:ind w:left="45" w:right="45"/>
                          <w:jc w:val="center"/>
                          <w:rPr>
                            <w:rFonts w:ascii="Times New Roman" w:eastAsia="Times New Roman" w:hAnsi="Times New Roman" w:cs="Times New Roman"/>
                          </w:rPr>
                        </w:pPr>
                        <w:r w:rsidRPr="00AE23A1">
                          <w:rPr>
                            <w:rFonts w:ascii="Arial" w:eastAsia="Times New Roman" w:hAnsi="Arial" w:cs="Arial"/>
                            <w:b/>
                            <w:bCs/>
                            <w:color w:val="FFFFFF"/>
                            <w:sz w:val="21"/>
                            <w:szCs w:val="21"/>
                            <w:bdr w:val="none" w:sz="0" w:space="0" w:color="auto" w:frame="1"/>
                          </w:rPr>
                          <w:t>Ascent Pro 10</w:t>
                        </w:r>
                      </w:p>
                    </w:tc>
                    <w:tc>
                      <w:tcPr>
                        <w:tcW w:w="7965" w:type="dxa"/>
                        <w:gridSpan w:val="6"/>
                        <w:tcBorders>
                          <w:top w:val="nil"/>
                          <w:left w:val="nil"/>
                          <w:bottom w:val="nil"/>
                          <w:right w:val="single" w:sz="8" w:space="0" w:color="666666"/>
                        </w:tcBorders>
                        <w:shd w:val="clear" w:color="auto" w:fill="10175F"/>
                        <w:tcMar>
                          <w:top w:w="50" w:type="dxa"/>
                          <w:left w:w="50" w:type="dxa"/>
                          <w:bottom w:w="50" w:type="dxa"/>
                          <w:right w:w="50" w:type="dxa"/>
                        </w:tcMar>
                        <w:vAlign w:val="center"/>
                        <w:hideMark/>
                      </w:tcPr>
                      <w:p w14:paraId="6AAD2E49"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1"/>
                            <w:szCs w:val="21"/>
                            <w:bdr w:val="none" w:sz="0" w:space="0" w:color="auto" w:frame="1"/>
                          </w:rPr>
                          <w:t>Single Life</w:t>
                        </w:r>
                        <w:r w:rsidRPr="00AE23A1">
                          <w:rPr>
                            <w:rFonts w:ascii="Arial" w:eastAsia="Times New Roman" w:hAnsi="Arial" w:cs="Arial"/>
                            <w:b/>
                            <w:bCs/>
                            <w:color w:val="FFFFFF"/>
                            <w:sz w:val="21"/>
                            <w:szCs w:val="21"/>
                            <w:bdr w:val="none" w:sz="0" w:space="0" w:color="auto" w:frame="1"/>
                            <w:vertAlign w:val="superscript"/>
                          </w:rPr>
                          <w:t>1</w:t>
                        </w:r>
                        <w:r w:rsidRPr="00AE23A1">
                          <w:rPr>
                            <w:rFonts w:ascii="Arial" w:eastAsia="Times New Roman" w:hAnsi="Arial" w:cs="Arial"/>
                            <w:b/>
                            <w:bCs/>
                            <w:color w:val="FFFFFF"/>
                            <w:sz w:val="21"/>
                            <w:szCs w:val="21"/>
                            <w:bdr w:val="none" w:sz="0" w:space="0" w:color="auto" w:frame="1"/>
                          </w:rPr>
                          <w:br/>
                          <w:t>Lifetime Income Withdrawal Percentages</w:t>
                        </w:r>
                      </w:p>
                    </w:tc>
                  </w:tr>
                  <w:tr w:rsidR="00AE23A1" w:rsidRPr="00AE23A1" w14:paraId="52F4B5D6" w14:textId="77777777">
                    <w:trPr>
                      <w:tblCellSpacing w:w="0" w:type="dxa"/>
                    </w:trPr>
                    <w:tc>
                      <w:tcPr>
                        <w:tcW w:w="795" w:type="dxa"/>
                        <w:tcBorders>
                          <w:top w:val="nil"/>
                          <w:left w:val="nil"/>
                          <w:bottom w:val="single" w:sz="8" w:space="0" w:color="666666"/>
                          <w:right w:val="single" w:sz="8" w:space="0" w:color="666666"/>
                        </w:tcBorders>
                        <w:shd w:val="clear" w:color="auto" w:fill="56A0D3"/>
                        <w:tcMar>
                          <w:top w:w="50" w:type="dxa"/>
                          <w:left w:w="50" w:type="dxa"/>
                          <w:bottom w:w="50" w:type="dxa"/>
                          <w:right w:w="50" w:type="dxa"/>
                        </w:tcMar>
                        <w:vAlign w:val="center"/>
                        <w:hideMark/>
                      </w:tcPr>
                      <w:p w14:paraId="6DE5CA56" w14:textId="77777777" w:rsidR="00AE23A1" w:rsidRPr="00AE23A1" w:rsidRDefault="00AE23A1" w:rsidP="00AE23A1">
                        <w:pPr>
                          <w:spacing w:beforeAutospacing="1" w:afterAutospacing="1" w:line="210" w:lineRule="atLeast"/>
                          <w:jc w:val="center"/>
                          <w:rPr>
                            <w:rFonts w:ascii="Times New Roman" w:eastAsia="Times New Roman" w:hAnsi="Times New Roman" w:cs="Times New Roman"/>
                          </w:rPr>
                        </w:pPr>
                        <w:r w:rsidRPr="00AE23A1">
                          <w:rPr>
                            <w:rFonts w:ascii="Arial" w:eastAsia="Times New Roman" w:hAnsi="Arial" w:cs="Arial"/>
                            <w:color w:val="FFFFFF"/>
                            <w:sz w:val="21"/>
                            <w:szCs w:val="21"/>
                            <w:bdr w:val="none" w:sz="0" w:space="0" w:color="auto" w:frame="1"/>
                          </w:rPr>
                          <w:t> </w:t>
                        </w:r>
                      </w:p>
                    </w:tc>
                    <w:tc>
                      <w:tcPr>
                        <w:tcW w:w="2565" w:type="dxa"/>
                        <w:gridSpan w:val="2"/>
                        <w:tcBorders>
                          <w:top w:val="nil"/>
                          <w:left w:val="nil"/>
                          <w:bottom w:val="single" w:sz="8" w:space="0" w:color="666666"/>
                          <w:right w:val="single" w:sz="8" w:space="0" w:color="666666"/>
                        </w:tcBorders>
                        <w:shd w:val="clear" w:color="auto" w:fill="56A0D3"/>
                        <w:tcMar>
                          <w:top w:w="50" w:type="dxa"/>
                          <w:left w:w="50" w:type="dxa"/>
                          <w:bottom w:w="50" w:type="dxa"/>
                          <w:right w:w="50" w:type="dxa"/>
                        </w:tcMar>
                        <w:vAlign w:val="center"/>
                        <w:hideMark/>
                      </w:tcPr>
                      <w:p w14:paraId="239031E4" w14:textId="77777777" w:rsidR="00AE23A1" w:rsidRPr="00AE23A1" w:rsidRDefault="00AE23A1" w:rsidP="00AE23A1">
                        <w:pPr>
                          <w:spacing w:line="27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Level</w:t>
                        </w:r>
                        <w:r w:rsidRPr="00AE23A1">
                          <w:rPr>
                            <w:rFonts w:ascii="Arial" w:eastAsia="Times New Roman" w:hAnsi="Arial" w:cs="Arial"/>
                            <w:b/>
                            <w:bCs/>
                            <w:color w:val="FFFFFF"/>
                            <w:sz w:val="20"/>
                            <w:szCs w:val="20"/>
                            <w:bdr w:val="none" w:sz="0" w:space="0" w:color="auto" w:frame="1"/>
                            <w:vertAlign w:val="superscript"/>
                          </w:rPr>
                          <w:t>2</w:t>
                        </w:r>
                        <w:r w:rsidRPr="00AE23A1">
                          <w:rPr>
                            <w:rFonts w:ascii="Arial" w:eastAsia="Times New Roman" w:hAnsi="Arial" w:cs="Arial"/>
                            <w:color w:val="FFFFFF"/>
                            <w:sz w:val="20"/>
                            <w:szCs w:val="20"/>
                            <w:bdr w:val="none" w:sz="0" w:space="0" w:color="auto" w:frame="1"/>
                          </w:rPr>
                          <w:br/>
                          <w:t>(Current &amp; Guaranteed)</w:t>
                        </w:r>
                      </w:p>
                    </w:tc>
                    <w:tc>
                      <w:tcPr>
                        <w:tcW w:w="2580" w:type="dxa"/>
                        <w:gridSpan w:val="2"/>
                        <w:tcBorders>
                          <w:top w:val="nil"/>
                          <w:left w:val="nil"/>
                          <w:bottom w:val="single" w:sz="8" w:space="0" w:color="666666"/>
                          <w:right w:val="single" w:sz="8" w:space="0" w:color="666666"/>
                        </w:tcBorders>
                        <w:shd w:val="clear" w:color="auto" w:fill="56A0D3"/>
                        <w:tcMar>
                          <w:top w:w="50" w:type="dxa"/>
                          <w:left w:w="50" w:type="dxa"/>
                          <w:bottom w:w="50" w:type="dxa"/>
                          <w:right w:w="50" w:type="dxa"/>
                        </w:tcMar>
                        <w:vAlign w:val="center"/>
                        <w:hideMark/>
                      </w:tcPr>
                      <w:p w14:paraId="6DD6B9FD" w14:textId="77777777" w:rsidR="00AE23A1" w:rsidRPr="00AE23A1" w:rsidRDefault="00AE23A1" w:rsidP="00AE23A1">
                        <w:pPr>
                          <w:spacing w:line="27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Earnings Indexed</w:t>
                        </w:r>
                        <w:r w:rsidRPr="00AE23A1">
                          <w:rPr>
                            <w:rFonts w:ascii="Arial" w:eastAsia="Times New Roman" w:hAnsi="Arial" w:cs="Arial"/>
                            <w:b/>
                            <w:bCs/>
                            <w:color w:val="FFFFFF"/>
                            <w:sz w:val="20"/>
                            <w:szCs w:val="20"/>
                            <w:bdr w:val="none" w:sz="0" w:space="0" w:color="auto" w:frame="1"/>
                            <w:vertAlign w:val="superscript"/>
                          </w:rPr>
                          <w:t>2</w:t>
                        </w:r>
                        <w:r w:rsidRPr="00AE23A1">
                          <w:rPr>
                            <w:rFonts w:ascii="Arial" w:eastAsia="Times New Roman" w:hAnsi="Arial" w:cs="Arial"/>
                            <w:color w:val="FFFFFF"/>
                            <w:sz w:val="20"/>
                            <w:szCs w:val="20"/>
                            <w:bdr w:val="none" w:sz="0" w:space="0" w:color="auto" w:frame="1"/>
                          </w:rPr>
                          <w:br/>
                          <w:t>(Current &amp; Guaranteed)</w:t>
                        </w:r>
                      </w:p>
                    </w:tc>
                    <w:tc>
                      <w:tcPr>
                        <w:tcW w:w="2580" w:type="dxa"/>
                        <w:gridSpan w:val="2"/>
                        <w:tcBorders>
                          <w:top w:val="nil"/>
                          <w:left w:val="nil"/>
                          <w:bottom w:val="single" w:sz="8" w:space="0" w:color="666666"/>
                          <w:right w:val="single" w:sz="8" w:space="0" w:color="666666"/>
                        </w:tcBorders>
                        <w:shd w:val="clear" w:color="auto" w:fill="56A0D3"/>
                        <w:tcMar>
                          <w:top w:w="50" w:type="dxa"/>
                          <w:left w:w="50" w:type="dxa"/>
                          <w:bottom w:w="50" w:type="dxa"/>
                          <w:right w:w="50" w:type="dxa"/>
                        </w:tcMar>
                        <w:hideMark/>
                      </w:tcPr>
                      <w:p w14:paraId="61AA07A8" w14:textId="77777777" w:rsidR="00AE23A1" w:rsidRPr="00AE23A1" w:rsidRDefault="00AE23A1" w:rsidP="00AE23A1">
                        <w:pPr>
                          <w:spacing w:line="27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Inflation</w:t>
                        </w:r>
                        <w:r w:rsidRPr="00AE23A1">
                          <w:rPr>
                            <w:rFonts w:ascii="Arial" w:eastAsia="Times New Roman" w:hAnsi="Arial" w:cs="Arial"/>
                            <w:b/>
                            <w:bCs/>
                            <w:color w:val="FFFFFF"/>
                            <w:sz w:val="20"/>
                            <w:szCs w:val="20"/>
                            <w:bdr w:val="none" w:sz="0" w:space="0" w:color="auto" w:frame="1"/>
                            <w:vertAlign w:val="superscript"/>
                          </w:rPr>
                          <w:t>2,3</w:t>
                        </w:r>
                        <w:r w:rsidRPr="00AE23A1">
                          <w:rPr>
                            <w:rFonts w:ascii="Arial" w:eastAsia="Times New Roman" w:hAnsi="Arial" w:cs="Arial"/>
                            <w:color w:val="FFFFFF"/>
                            <w:sz w:val="20"/>
                            <w:szCs w:val="20"/>
                            <w:bdr w:val="none" w:sz="0" w:space="0" w:color="auto" w:frame="1"/>
                          </w:rPr>
                          <w:br/>
                          <w:t>(Guaranteed)</w:t>
                        </w:r>
                      </w:p>
                    </w:tc>
                  </w:tr>
                  <w:tr w:rsidR="00AE23A1" w:rsidRPr="00AE23A1" w14:paraId="5AA488A0" w14:textId="77777777">
                    <w:trPr>
                      <w:tblCellSpacing w:w="0" w:type="dxa"/>
                    </w:trPr>
                    <w:tc>
                      <w:tcPr>
                        <w:tcW w:w="815" w:type="dxa"/>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10F0AB9C"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Attained Age:</w:t>
                        </w:r>
                      </w:p>
                    </w:tc>
                    <w:tc>
                      <w:tcPr>
                        <w:tcW w:w="1235" w:type="dxa"/>
                        <w:tcBorders>
                          <w:top w:val="nil"/>
                          <w:left w:val="nil"/>
                          <w:bottom w:val="single" w:sz="8" w:space="0" w:color="666666"/>
                          <w:right w:val="nil"/>
                        </w:tcBorders>
                        <w:shd w:val="clear" w:color="auto" w:fill="CCCCCC"/>
                        <w:tcMar>
                          <w:top w:w="50" w:type="dxa"/>
                          <w:left w:w="50" w:type="dxa"/>
                          <w:bottom w:w="50" w:type="dxa"/>
                          <w:right w:w="50" w:type="dxa"/>
                        </w:tcMar>
                        <w:vAlign w:val="center"/>
                        <w:hideMark/>
                      </w:tcPr>
                      <w:p w14:paraId="7BF4437B"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333333"/>
                            <w:sz w:val="20"/>
                            <w:szCs w:val="20"/>
                            <w:bdr w:val="none" w:sz="0" w:space="0" w:color="auto" w:frame="1"/>
                          </w:rPr>
                          <w:t>Current</w:t>
                        </w:r>
                      </w:p>
                    </w:tc>
                    <w:tc>
                      <w:tcPr>
                        <w:tcW w:w="1230" w:type="dxa"/>
                        <w:tcBorders>
                          <w:top w:val="nil"/>
                          <w:left w:val="nil"/>
                          <w:bottom w:val="single" w:sz="8" w:space="0" w:color="666666"/>
                          <w:right w:val="single" w:sz="8" w:space="0" w:color="666666"/>
                        </w:tcBorders>
                        <w:shd w:val="clear" w:color="auto" w:fill="56A0D3"/>
                        <w:tcMar>
                          <w:top w:w="50" w:type="dxa"/>
                          <w:left w:w="50" w:type="dxa"/>
                          <w:bottom w:w="50" w:type="dxa"/>
                          <w:right w:w="50" w:type="dxa"/>
                        </w:tcMar>
                        <w:vAlign w:val="center"/>
                        <w:hideMark/>
                      </w:tcPr>
                      <w:p w14:paraId="64CDAE48"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New</w:t>
                        </w:r>
                      </w:p>
                    </w:tc>
                    <w:tc>
                      <w:tcPr>
                        <w:tcW w:w="1250" w:type="dxa"/>
                        <w:tcBorders>
                          <w:top w:val="nil"/>
                          <w:left w:val="nil"/>
                          <w:bottom w:val="single" w:sz="8" w:space="0" w:color="666666"/>
                          <w:right w:val="nil"/>
                        </w:tcBorders>
                        <w:shd w:val="clear" w:color="auto" w:fill="CCCCCC"/>
                        <w:tcMar>
                          <w:top w:w="50" w:type="dxa"/>
                          <w:left w:w="50" w:type="dxa"/>
                          <w:bottom w:w="50" w:type="dxa"/>
                          <w:right w:w="50" w:type="dxa"/>
                        </w:tcMar>
                        <w:vAlign w:val="center"/>
                        <w:hideMark/>
                      </w:tcPr>
                      <w:p w14:paraId="41A3EFE0"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333333"/>
                            <w:sz w:val="20"/>
                            <w:szCs w:val="20"/>
                            <w:bdr w:val="none" w:sz="0" w:space="0" w:color="auto" w:frame="1"/>
                          </w:rPr>
                          <w:t>Current</w:t>
                        </w:r>
                      </w:p>
                    </w:tc>
                    <w:tc>
                      <w:tcPr>
                        <w:tcW w:w="1230" w:type="dxa"/>
                        <w:tcBorders>
                          <w:top w:val="nil"/>
                          <w:left w:val="nil"/>
                          <w:bottom w:val="single" w:sz="8" w:space="0" w:color="666666"/>
                          <w:right w:val="single" w:sz="8" w:space="0" w:color="666666"/>
                        </w:tcBorders>
                        <w:shd w:val="clear" w:color="auto" w:fill="56A0D3"/>
                        <w:tcMar>
                          <w:top w:w="50" w:type="dxa"/>
                          <w:left w:w="50" w:type="dxa"/>
                          <w:bottom w:w="50" w:type="dxa"/>
                          <w:right w:w="50" w:type="dxa"/>
                        </w:tcMar>
                        <w:vAlign w:val="center"/>
                        <w:hideMark/>
                      </w:tcPr>
                      <w:p w14:paraId="4936378C"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New</w:t>
                        </w:r>
                      </w:p>
                    </w:tc>
                    <w:tc>
                      <w:tcPr>
                        <w:tcW w:w="1250" w:type="dxa"/>
                        <w:tcBorders>
                          <w:top w:val="nil"/>
                          <w:left w:val="nil"/>
                          <w:bottom w:val="single" w:sz="8" w:space="0" w:color="666666"/>
                          <w:right w:val="nil"/>
                        </w:tcBorders>
                        <w:shd w:val="clear" w:color="auto" w:fill="CCCCCC"/>
                        <w:tcMar>
                          <w:top w:w="50" w:type="dxa"/>
                          <w:left w:w="50" w:type="dxa"/>
                          <w:bottom w:w="50" w:type="dxa"/>
                          <w:right w:w="50" w:type="dxa"/>
                        </w:tcMar>
                        <w:vAlign w:val="center"/>
                        <w:hideMark/>
                      </w:tcPr>
                      <w:p w14:paraId="3FFDC12A"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333333"/>
                            <w:sz w:val="20"/>
                            <w:szCs w:val="20"/>
                            <w:bdr w:val="none" w:sz="0" w:space="0" w:color="auto" w:frame="1"/>
                          </w:rPr>
                          <w:t>Current</w:t>
                        </w:r>
                      </w:p>
                    </w:tc>
                    <w:tc>
                      <w:tcPr>
                        <w:tcW w:w="1230" w:type="dxa"/>
                        <w:tcBorders>
                          <w:top w:val="nil"/>
                          <w:left w:val="nil"/>
                          <w:bottom w:val="single" w:sz="8" w:space="0" w:color="666666"/>
                          <w:right w:val="single" w:sz="8" w:space="0" w:color="666666"/>
                        </w:tcBorders>
                        <w:shd w:val="clear" w:color="auto" w:fill="56A0D3"/>
                        <w:tcMar>
                          <w:top w:w="50" w:type="dxa"/>
                          <w:left w:w="50" w:type="dxa"/>
                          <w:bottom w:w="50" w:type="dxa"/>
                          <w:right w:w="50" w:type="dxa"/>
                        </w:tcMar>
                        <w:vAlign w:val="center"/>
                        <w:hideMark/>
                      </w:tcPr>
                      <w:p w14:paraId="04E830CB"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New</w:t>
                        </w:r>
                      </w:p>
                    </w:tc>
                  </w:tr>
                  <w:tr w:rsidR="00AE23A1" w:rsidRPr="00AE23A1" w14:paraId="62AEF3B6"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751A5AC2"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50-54</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0F18AF41"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3.10%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4107FDF2"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3.40%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6AA602A1"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2.50%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7DBFD2E5"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2.80%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430A976C"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1.39%</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085FEA5F"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1.53%</w:t>
                        </w:r>
                      </w:p>
                    </w:tc>
                  </w:tr>
                  <w:tr w:rsidR="00AE23A1" w:rsidRPr="00AE23A1" w14:paraId="0E8C11E4"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6CC8659B"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55-59</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5EEED901"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3.10%+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0C07D235"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3.40%+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231802BD"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2.50%+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6B2DCB13"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2.80%+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56D47D81"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1.39%+</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30DFA364"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1.53%+</w:t>
                        </w:r>
                      </w:p>
                    </w:tc>
                  </w:tr>
                  <w:tr w:rsidR="00AE23A1" w:rsidRPr="00AE23A1" w14:paraId="0DABB91A"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2E97142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60-64</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74ECB1BF"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3.60%+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376BD237"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3.90%+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3E6C5C20"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3.00%+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5E1710CA"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3.30%+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35EBF511"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1.62%+</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3825654B"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1.75%+</w:t>
                        </w:r>
                      </w:p>
                    </w:tc>
                  </w:tr>
                  <w:tr w:rsidR="00AE23A1" w:rsidRPr="00AE23A1" w14:paraId="28F8A2B2"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0FE8DF88"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65-69</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73D42A03"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4.10%+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2D5CAB7A"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4.40%+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572B40DC"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3.50%+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3164141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3.80%+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67635380"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1.84%+</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6887489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1.98%+</w:t>
                        </w:r>
                      </w:p>
                    </w:tc>
                  </w:tr>
                  <w:tr w:rsidR="00AE23A1" w:rsidRPr="00AE23A1" w14:paraId="761E1A26"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65865855"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70-74</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6DF7B4A1"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4.60%+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52D97913"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4.90%+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7C06C004"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4.00%+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2A014BCC"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4.30%+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0EC58BC8"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2.07%+</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4B9033C0"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2.20%+</w:t>
                        </w:r>
                      </w:p>
                    </w:tc>
                  </w:tr>
                  <w:tr w:rsidR="00AE23A1" w:rsidRPr="00AE23A1" w14:paraId="5DD15243"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7BDE15FE"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lastRenderedPageBreak/>
                          <w:t>75-79</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11FEAA9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5.10%+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71E2F2F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5.40%+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2A8FC998"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4.50%+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69359A5E"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4.80%+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486FF34C"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2.29%+</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09D57AB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2.43%+</w:t>
                        </w:r>
                      </w:p>
                    </w:tc>
                  </w:tr>
                  <w:tr w:rsidR="00AE23A1" w:rsidRPr="00AE23A1" w14:paraId="2E977307"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424DAC61"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80-84</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38DAEF7D"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5.60%+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4222579E"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5.90%+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3A880DA2"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5.00%+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107FD36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5.30%+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12DDB7D7"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2.52%+</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5EE26707"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2.65%+</w:t>
                        </w:r>
                      </w:p>
                    </w:tc>
                  </w:tr>
                  <w:tr w:rsidR="00AE23A1" w:rsidRPr="00AE23A1" w14:paraId="420F44C4"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0324943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85-89</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2D5685BA"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6.10%+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6B550D8E"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6.40%+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38F60163"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5.50%+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50A01618"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5.80%+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287C7C79"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2.74%+</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4ABFFB0F"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2.88%+</w:t>
                        </w:r>
                      </w:p>
                    </w:tc>
                  </w:tr>
                  <w:tr w:rsidR="00AE23A1" w:rsidRPr="00AE23A1" w14:paraId="3BC276E6" w14:textId="77777777">
                    <w:trPr>
                      <w:tblCellSpacing w:w="0" w:type="dxa"/>
                    </w:trPr>
                    <w:tc>
                      <w:tcPr>
                        <w:tcW w:w="0" w:type="auto"/>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5ECDF6A2"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90+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1E7B801E"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6.60%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02EEBB85"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6.90%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1B9C8EC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6.00%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601DF0E9"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6.30%</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77B0073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2.97%</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3711AA63"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3.10%</w:t>
                        </w:r>
                      </w:p>
                    </w:tc>
                  </w:tr>
                  <w:tr w:rsidR="00AE23A1" w:rsidRPr="00AE23A1" w14:paraId="08EB1E2F" w14:textId="77777777">
                    <w:trPr>
                      <w:tblCellSpacing w:w="0" w:type="dxa"/>
                    </w:trPr>
                    <w:tc>
                      <w:tcPr>
                        <w:tcW w:w="0" w:type="auto"/>
                        <w:gridSpan w:val="7"/>
                        <w:tcBorders>
                          <w:top w:val="nil"/>
                          <w:left w:val="nil"/>
                          <w:bottom w:val="single" w:sz="8" w:space="0" w:color="666666"/>
                          <w:right w:val="nil"/>
                        </w:tcBorders>
                        <w:shd w:val="clear" w:color="auto" w:fill="FFFFFF"/>
                        <w:tcMar>
                          <w:top w:w="50" w:type="dxa"/>
                          <w:left w:w="50" w:type="dxa"/>
                          <w:bottom w:w="50" w:type="dxa"/>
                          <w:right w:w="50" w:type="dxa"/>
                        </w:tcMar>
                        <w:vAlign w:val="center"/>
                        <w:hideMark/>
                      </w:tcPr>
                      <w:p w14:paraId="2E5834B7" w14:textId="77777777" w:rsidR="00AE23A1" w:rsidRPr="00AE23A1" w:rsidRDefault="00AE23A1" w:rsidP="00AE23A1">
                        <w:pPr>
                          <w:spacing w:beforeAutospacing="1" w:afterAutospacing="1" w:line="240" w:lineRule="atLeast"/>
                          <w:rPr>
                            <w:rFonts w:ascii="Times New Roman" w:eastAsia="Times New Roman" w:hAnsi="Times New Roman" w:cs="Times New Roman"/>
                          </w:rPr>
                        </w:pPr>
                        <w:r w:rsidRPr="00AE23A1">
                          <w:rPr>
                            <w:rFonts w:ascii="Arial" w:eastAsia="Times New Roman" w:hAnsi="Arial" w:cs="Arial"/>
                            <w:color w:val="000000"/>
                            <w:sz w:val="20"/>
                            <w:szCs w:val="20"/>
                            <w:bdr w:val="none" w:sz="0" w:space="0" w:color="auto" w:frame="1"/>
                          </w:rPr>
                          <w:t>1 Subtract 0.5% from the Single Life withdrawal percentage to determine the current Joint Life withdrawal percentage.</w:t>
                        </w:r>
                        <w:r w:rsidRPr="00AE23A1">
                          <w:rPr>
                            <w:rFonts w:ascii="Arial" w:eastAsia="Times New Roman" w:hAnsi="Arial" w:cs="Arial"/>
                            <w:color w:val="000000"/>
                            <w:sz w:val="20"/>
                            <w:szCs w:val="20"/>
                            <w:bdr w:val="none" w:sz="0" w:space="0" w:color="auto" w:frame="1"/>
                          </w:rPr>
                          <w:br/>
                          <w:t>2 Beginning at age 55, the Lifetime Income Withdrawal Percentage will increase by 0.1% each year for the Level and Earnings Indexed options. Beginning at age 55, the Lifetime Income Withdrawal Percentage will increase by 0.045% each year for the Inflation option.</w:t>
                        </w:r>
                        <w:r w:rsidRPr="00AE23A1">
                          <w:rPr>
                            <w:rFonts w:ascii="Arial" w:eastAsia="Times New Roman" w:hAnsi="Arial" w:cs="Arial"/>
                            <w:color w:val="000000"/>
                            <w:sz w:val="20"/>
                            <w:szCs w:val="20"/>
                            <w:bdr w:val="none" w:sz="0" w:space="0" w:color="auto" w:frame="1"/>
                          </w:rPr>
                          <w:br/>
                          <w:t>3 Guaranteed rates may be lower than current rates. Please contact the Company for current rates when your customer wants to elect income.</w:t>
                        </w:r>
                      </w:p>
                    </w:tc>
                  </w:tr>
                </w:tbl>
                <w:p w14:paraId="3EF1B269" w14:textId="77777777" w:rsidR="00AE23A1" w:rsidRPr="00AE23A1" w:rsidRDefault="00AE23A1" w:rsidP="00AE23A1">
                  <w:pPr>
                    <w:rPr>
                      <w:rFonts w:ascii="Times New Roman" w:eastAsia="Times New Roman" w:hAnsi="Times New Roman" w:cs="Times New Roman"/>
                      <w:vanish/>
                    </w:rPr>
                  </w:pPr>
                </w:p>
                <w:tbl>
                  <w:tblPr>
                    <w:tblW w:w="0" w:type="auto"/>
                    <w:tblCellSpacing w:w="30" w:type="dxa"/>
                    <w:tblCellMar>
                      <w:left w:w="0" w:type="dxa"/>
                      <w:right w:w="0" w:type="dxa"/>
                    </w:tblCellMar>
                    <w:tblLook w:val="04A0" w:firstRow="1" w:lastRow="0" w:firstColumn="1" w:lastColumn="0" w:noHBand="0" w:noVBand="1"/>
                  </w:tblPr>
                  <w:tblGrid>
                    <w:gridCol w:w="156"/>
                  </w:tblGrid>
                  <w:tr w:rsidR="00AE23A1" w:rsidRPr="00AE23A1" w14:paraId="5F205E5A" w14:textId="77777777">
                    <w:trPr>
                      <w:trHeight w:val="200"/>
                      <w:tblCellSpacing w:w="30" w:type="dxa"/>
                    </w:trPr>
                    <w:tc>
                      <w:tcPr>
                        <w:tcW w:w="0" w:type="auto"/>
                        <w:shd w:val="clear" w:color="auto" w:fill="FFFFFF"/>
                        <w:tcMar>
                          <w:top w:w="15" w:type="dxa"/>
                          <w:left w:w="15" w:type="dxa"/>
                          <w:bottom w:w="15" w:type="dxa"/>
                          <w:right w:w="15" w:type="dxa"/>
                        </w:tcMar>
                        <w:vAlign w:val="center"/>
                        <w:hideMark/>
                      </w:tcPr>
                      <w:p w14:paraId="59564EF8" w14:textId="77777777" w:rsidR="00AE23A1" w:rsidRPr="00AE23A1" w:rsidRDefault="00AE23A1" w:rsidP="00AE23A1">
                        <w:pPr>
                          <w:spacing w:line="300" w:lineRule="atLeast"/>
                          <w:rPr>
                            <w:rFonts w:ascii="Calibri" w:eastAsia="Times New Roman" w:hAnsi="Calibri" w:cs="Calibri"/>
                            <w:sz w:val="22"/>
                            <w:szCs w:val="22"/>
                          </w:rPr>
                        </w:pPr>
                        <w:r w:rsidRPr="00AE23A1">
                          <w:rPr>
                            <w:rFonts w:ascii="inherit" w:eastAsia="Times New Roman" w:hAnsi="inherit" w:cs="Calibri"/>
                            <w:color w:val="000000"/>
                            <w:sz w:val="2"/>
                            <w:szCs w:val="2"/>
                            <w:bdr w:val="none" w:sz="0" w:space="0" w:color="auto" w:frame="1"/>
                          </w:rPr>
                          <w:t> </w:t>
                        </w:r>
                      </w:p>
                    </w:tc>
                  </w:tr>
                </w:tbl>
                <w:p w14:paraId="77D08FDD" w14:textId="77777777" w:rsidR="00AE23A1" w:rsidRPr="00AE23A1" w:rsidRDefault="00AE23A1" w:rsidP="00AE23A1">
                  <w:pPr>
                    <w:spacing w:line="360" w:lineRule="atLeast"/>
                    <w:outlineLvl w:val="2"/>
                    <w:rPr>
                      <w:rFonts w:ascii="Calibri" w:eastAsia="Times New Roman" w:hAnsi="Calibri" w:cs="Calibri"/>
                      <w:b/>
                      <w:bCs/>
                      <w:sz w:val="27"/>
                      <w:szCs w:val="27"/>
                    </w:rPr>
                  </w:pPr>
                  <w:r w:rsidRPr="00AE23A1">
                    <w:rPr>
                      <w:rFonts w:ascii="Arial" w:eastAsia="Times New Roman" w:hAnsi="Arial" w:cs="Arial"/>
                      <w:b/>
                      <w:bCs/>
                      <w:color w:val="000000"/>
                      <w:sz w:val="27"/>
                      <w:szCs w:val="27"/>
                      <w:bdr w:val="none" w:sz="0" w:space="0" w:color="auto" w:frame="1"/>
                    </w:rPr>
                    <w:t>Athene Ascent Pro 10 Income Base Bonus</w:t>
                  </w:r>
                </w:p>
                <w:p w14:paraId="172C0414" w14:textId="77777777" w:rsidR="00AE23A1" w:rsidRPr="00AE23A1" w:rsidRDefault="00AE23A1" w:rsidP="00AE23A1">
                  <w:pPr>
                    <w:spacing w:beforeAutospacing="1" w:afterAutospacing="1" w:line="360" w:lineRule="atLeast"/>
                    <w:rPr>
                      <w:rFonts w:ascii="Times New Roman" w:eastAsia="Times New Roman" w:hAnsi="Times New Roman" w:cs="Times New Roman"/>
                    </w:rPr>
                  </w:pPr>
                  <w:r w:rsidRPr="00AE23A1">
                    <w:rPr>
                      <w:rFonts w:ascii="Arial" w:eastAsia="Times New Roman" w:hAnsi="Arial" w:cs="Arial"/>
                      <w:color w:val="000000"/>
                      <w:bdr w:val="none" w:sz="0" w:space="0" w:color="auto" w:frame="1"/>
                    </w:rPr>
                    <w:t>Download our Product Guide for rates and state approvals:</w:t>
                  </w:r>
                  <w:r w:rsidRPr="00AE23A1">
                    <w:rPr>
                      <w:rFonts w:ascii="Arial" w:eastAsia="Times New Roman" w:hAnsi="Arial" w:cs="Arial"/>
                      <w:color w:val="000000"/>
                      <w:bdr w:val="none" w:sz="0" w:space="0" w:color="auto" w:frame="1"/>
                    </w:rPr>
                    <w:br/>
                    <w:t>Most states: </w:t>
                  </w:r>
                  <w:hyperlink r:id="rId18" w:tgtFrame="_blank" w:history="1">
                    <w:r w:rsidRPr="00AE23A1">
                      <w:rPr>
                        <w:rFonts w:ascii="Arial" w:eastAsia="Times New Roman" w:hAnsi="Arial" w:cs="Arial"/>
                        <w:color w:val="0000FF"/>
                        <w:u w:val="single"/>
                        <w:bdr w:val="none" w:sz="0" w:space="0" w:color="auto" w:frame="1"/>
                      </w:rPr>
                      <w:t>Form 65219</w:t>
                    </w:r>
                  </w:hyperlink>
                  <w:r w:rsidRPr="00AE23A1">
                    <w:rPr>
                      <w:rFonts w:ascii="Arial" w:eastAsia="Times New Roman" w:hAnsi="Arial" w:cs="Arial"/>
                      <w:color w:val="000000"/>
                      <w:bdr w:val="none" w:sz="0" w:space="0" w:color="auto" w:frame="1"/>
                    </w:rPr>
                    <w:br/>
                    <w:t>Oregon: </w:t>
                  </w:r>
                  <w:hyperlink r:id="rId19" w:tgtFrame="_blank" w:history="1">
                    <w:r w:rsidRPr="00AE23A1">
                      <w:rPr>
                        <w:rFonts w:ascii="Arial" w:eastAsia="Times New Roman" w:hAnsi="Arial" w:cs="Arial"/>
                        <w:color w:val="0000FF"/>
                        <w:u w:val="single"/>
                        <w:bdr w:val="none" w:sz="0" w:space="0" w:color="auto" w:frame="1"/>
                      </w:rPr>
                      <w:t>Form 65288</w:t>
                    </w:r>
                  </w:hyperlink>
                </w:p>
                <w:tbl>
                  <w:tblPr>
                    <w:tblW w:w="9000" w:type="dxa"/>
                    <w:tblCellSpacing w:w="0" w:type="dxa"/>
                    <w:tblBorders>
                      <w:bottom w:val="single" w:sz="8" w:space="0" w:color="CCCCCC"/>
                    </w:tblBorders>
                    <w:tblCellMar>
                      <w:left w:w="0" w:type="dxa"/>
                      <w:right w:w="0" w:type="dxa"/>
                    </w:tblCellMar>
                    <w:tblLook w:val="04A0" w:firstRow="1" w:lastRow="0" w:firstColumn="1" w:lastColumn="0" w:noHBand="0" w:noVBand="1"/>
                  </w:tblPr>
                  <w:tblGrid>
                    <w:gridCol w:w="2234"/>
                    <w:gridCol w:w="2214"/>
                    <w:gridCol w:w="2234"/>
                    <w:gridCol w:w="2318"/>
                  </w:tblGrid>
                  <w:tr w:rsidR="00AE23A1" w:rsidRPr="00AE23A1" w14:paraId="4A0149C6" w14:textId="77777777">
                    <w:trPr>
                      <w:tblCellSpacing w:w="0" w:type="dxa"/>
                    </w:trPr>
                    <w:tc>
                      <w:tcPr>
                        <w:tcW w:w="2130" w:type="dxa"/>
                        <w:tcBorders>
                          <w:top w:val="nil"/>
                          <w:left w:val="nil"/>
                          <w:bottom w:val="nil"/>
                          <w:right w:val="single" w:sz="8" w:space="0" w:color="666666"/>
                        </w:tcBorders>
                        <w:shd w:val="clear" w:color="auto" w:fill="10175F"/>
                        <w:tcMar>
                          <w:top w:w="50" w:type="dxa"/>
                          <w:left w:w="50" w:type="dxa"/>
                          <w:bottom w:w="50" w:type="dxa"/>
                          <w:right w:w="50" w:type="dxa"/>
                        </w:tcMar>
                        <w:vAlign w:val="center"/>
                        <w:hideMark/>
                      </w:tcPr>
                      <w:p w14:paraId="0EA5313C" w14:textId="77777777" w:rsidR="00AE23A1" w:rsidRPr="00AE23A1" w:rsidRDefault="00AE23A1" w:rsidP="00AE23A1">
                        <w:pPr>
                          <w:spacing w:line="240" w:lineRule="atLeast"/>
                          <w:jc w:val="center"/>
                          <w:rPr>
                            <w:rFonts w:ascii="Calibri" w:eastAsia="Times New Roman" w:hAnsi="Calibri" w:cs="Calibri"/>
                            <w:sz w:val="22"/>
                            <w:szCs w:val="22"/>
                          </w:rPr>
                        </w:pPr>
                        <w:r w:rsidRPr="00AE23A1">
                          <w:rPr>
                            <w:rFonts w:ascii="Arial" w:eastAsia="Times New Roman" w:hAnsi="Arial" w:cs="Arial"/>
                            <w:b/>
                            <w:bCs/>
                            <w:color w:val="FFFFFF"/>
                            <w:sz w:val="21"/>
                            <w:szCs w:val="21"/>
                            <w:bdr w:val="none" w:sz="0" w:space="0" w:color="auto" w:frame="1"/>
                          </w:rPr>
                          <w:t>Ascent Pro 10</w:t>
                        </w:r>
                      </w:p>
                    </w:tc>
                    <w:tc>
                      <w:tcPr>
                        <w:tcW w:w="2130" w:type="dxa"/>
                        <w:tcBorders>
                          <w:top w:val="nil"/>
                          <w:left w:val="nil"/>
                          <w:bottom w:val="nil"/>
                          <w:right w:val="single" w:sz="8" w:space="0" w:color="666666"/>
                        </w:tcBorders>
                        <w:shd w:val="clear" w:color="auto" w:fill="10175F"/>
                        <w:tcMar>
                          <w:top w:w="50" w:type="dxa"/>
                          <w:left w:w="50" w:type="dxa"/>
                          <w:bottom w:w="50" w:type="dxa"/>
                          <w:right w:w="50" w:type="dxa"/>
                        </w:tcMar>
                        <w:vAlign w:val="center"/>
                        <w:hideMark/>
                      </w:tcPr>
                      <w:p w14:paraId="725E869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1"/>
                            <w:szCs w:val="21"/>
                            <w:bdr w:val="none" w:sz="0" w:space="0" w:color="auto" w:frame="1"/>
                          </w:rPr>
                          <w:t>Rider Option</w:t>
                        </w:r>
                      </w:p>
                    </w:tc>
                    <w:tc>
                      <w:tcPr>
                        <w:tcW w:w="4380" w:type="dxa"/>
                        <w:gridSpan w:val="2"/>
                        <w:tcBorders>
                          <w:top w:val="nil"/>
                          <w:left w:val="nil"/>
                          <w:bottom w:val="nil"/>
                          <w:right w:val="single" w:sz="8" w:space="0" w:color="666666"/>
                        </w:tcBorders>
                        <w:shd w:val="clear" w:color="auto" w:fill="10175F"/>
                        <w:tcMar>
                          <w:top w:w="50" w:type="dxa"/>
                          <w:left w:w="50" w:type="dxa"/>
                          <w:bottom w:w="50" w:type="dxa"/>
                          <w:right w:w="50" w:type="dxa"/>
                        </w:tcMar>
                        <w:vAlign w:val="center"/>
                        <w:hideMark/>
                      </w:tcPr>
                      <w:p w14:paraId="2F5E26BF"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1"/>
                            <w:szCs w:val="21"/>
                            <w:bdr w:val="none" w:sz="0" w:space="0" w:color="auto" w:frame="1"/>
                          </w:rPr>
                          <w:t>Income Base Bonus</w:t>
                        </w:r>
                      </w:p>
                    </w:tc>
                  </w:tr>
                  <w:tr w:rsidR="00AE23A1" w:rsidRPr="00AE23A1" w14:paraId="11DA6086" w14:textId="77777777">
                    <w:trPr>
                      <w:tblCellSpacing w:w="0" w:type="dxa"/>
                    </w:trPr>
                    <w:tc>
                      <w:tcPr>
                        <w:tcW w:w="2150" w:type="dxa"/>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2E780959"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color w:val="FFFFFF"/>
                            <w:sz w:val="20"/>
                            <w:szCs w:val="20"/>
                            <w:bdr w:val="none" w:sz="0" w:space="0" w:color="auto" w:frame="1"/>
                          </w:rPr>
                          <w:t> </w:t>
                        </w:r>
                      </w:p>
                    </w:tc>
                    <w:tc>
                      <w:tcPr>
                        <w:tcW w:w="2130" w:type="dxa"/>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4E0B5BB2"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FFFFFF"/>
                            <w:sz w:val="20"/>
                            <w:szCs w:val="20"/>
                            <w:bdr w:val="none" w:sz="0" w:space="0" w:color="auto" w:frame="1"/>
                          </w:rPr>
                          <w:t> </w:t>
                        </w:r>
                      </w:p>
                    </w:tc>
                    <w:tc>
                      <w:tcPr>
                        <w:tcW w:w="2150" w:type="dxa"/>
                        <w:tcBorders>
                          <w:top w:val="nil"/>
                          <w:left w:val="nil"/>
                          <w:bottom w:val="single" w:sz="8" w:space="0" w:color="666666"/>
                          <w:right w:val="nil"/>
                        </w:tcBorders>
                        <w:shd w:val="clear" w:color="auto" w:fill="CCCCCC"/>
                        <w:tcMar>
                          <w:top w:w="50" w:type="dxa"/>
                          <w:left w:w="50" w:type="dxa"/>
                          <w:bottom w:w="50" w:type="dxa"/>
                          <w:right w:w="50" w:type="dxa"/>
                        </w:tcMar>
                        <w:vAlign w:val="center"/>
                        <w:hideMark/>
                      </w:tcPr>
                      <w:p w14:paraId="24C996A1"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333333"/>
                            <w:sz w:val="20"/>
                            <w:szCs w:val="20"/>
                            <w:bdr w:val="none" w:sz="0" w:space="0" w:color="auto" w:frame="1"/>
                          </w:rPr>
                          <w:t>Current</w:t>
                        </w:r>
                      </w:p>
                    </w:tc>
                    <w:tc>
                      <w:tcPr>
                        <w:tcW w:w="2130" w:type="dxa"/>
                        <w:tcBorders>
                          <w:top w:val="nil"/>
                          <w:left w:val="nil"/>
                          <w:bottom w:val="single" w:sz="8" w:space="0" w:color="666666"/>
                          <w:right w:val="single" w:sz="8" w:space="0" w:color="666666"/>
                        </w:tcBorders>
                        <w:shd w:val="clear" w:color="auto" w:fill="56A0D3"/>
                        <w:tcMar>
                          <w:top w:w="50" w:type="dxa"/>
                          <w:left w:w="50" w:type="dxa"/>
                          <w:bottom w:w="50" w:type="dxa"/>
                          <w:right w:w="50" w:type="dxa"/>
                        </w:tcMar>
                        <w:vAlign w:val="center"/>
                        <w:hideMark/>
                      </w:tcPr>
                      <w:p w14:paraId="64A46598"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New</w:t>
                        </w:r>
                      </w:p>
                    </w:tc>
                  </w:tr>
                  <w:tr w:rsidR="00AE23A1" w:rsidRPr="00AE23A1" w14:paraId="6679DA21" w14:textId="77777777">
                    <w:trPr>
                      <w:tblCellSpacing w:w="0" w:type="dxa"/>
                    </w:trPr>
                    <w:tc>
                      <w:tcPr>
                        <w:tcW w:w="0" w:type="auto"/>
                        <w:vMerge w:val="restart"/>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01B5A22A"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All States</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301AE28D"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Option 1</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12720508"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20%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3B37CB2A"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15%</w:t>
                        </w:r>
                      </w:p>
                    </w:tc>
                  </w:tr>
                  <w:tr w:rsidR="00AE23A1" w:rsidRPr="00AE23A1" w14:paraId="0493B999" w14:textId="77777777">
                    <w:trPr>
                      <w:tblCellSpacing w:w="0" w:type="dxa"/>
                    </w:trPr>
                    <w:tc>
                      <w:tcPr>
                        <w:tcW w:w="0" w:type="auto"/>
                        <w:vMerge/>
                        <w:tcBorders>
                          <w:top w:val="nil"/>
                          <w:left w:val="nil"/>
                          <w:bottom w:val="single" w:sz="8" w:space="0" w:color="666666"/>
                          <w:right w:val="nil"/>
                        </w:tcBorders>
                        <w:vAlign w:val="center"/>
                        <w:hideMark/>
                      </w:tcPr>
                      <w:p w14:paraId="6BB215F4" w14:textId="77777777" w:rsidR="00AE23A1" w:rsidRPr="00AE23A1" w:rsidRDefault="00AE23A1" w:rsidP="00AE23A1">
                        <w:pPr>
                          <w:rPr>
                            <w:rFonts w:ascii="Calibri" w:eastAsia="Times New Roman" w:hAnsi="Calibri" w:cs="Calibri"/>
                            <w:sz w:val="22"/>
                            <w:szCs w:val="22"/>
                          </w:rPr>
                        </w:pP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2A01160C"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Option 2</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06B78D20"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5%</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4AADB208"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0%</w:t>
                        </w:r>
                      </w:p>
                    </w:tc>
                  </w:tr>
                </w:tbl>
                <w:p w14:paraId="3243CA25" w14:textId="77777777" w:rsidR="00AE23A1" w:rsidRPr="00AE23A1" w:rsidRDefault="00AE23A1" w:rsidP="00AE23A1">
                  <w:pPr>
                    <w:rPr>
                      <w:rFonts w:ascii="Times New Roman" w:eastAsia="Times New Roman" w:hAnsi="Times New Roman" w:cs="Times New Roman"/>
                      <w:vanish/>
                    </w:rPr>
                  </w:pPr>
                </w:p>
                <w:tbl>
                  <w:tblPr>
                    <w:tblW w:w="0" w:type="auto"/>
                    <w:tblCellSpacing w:w="30" w:type="dxa"/>
                    <w:tblCellMar>
                      <w:left w:w="0" w:type="dxa"/>
                      <w:right w:w="0" w:type="dxa"/>
                    </w:tblCellMar>
                    <w:tblLook w:val="04A0" w:firstRow="1" w:lastRow="0" w:firstColumn="1" w:lastColumn="0" w:noHBand="0" w:noVBand="1"/>
                  </w:tblPr>
                  <w:tblGrid>
                    <w:gridCol w:w="156"/>
                  </w:tblGrid>
                  <w:tr w:rsidR="00AE23A1" w:rsidRPr="00AE23A1" w14:paraId="6495ED09" w14:textId="77777777">
                    <w:trPr>
                      <w:trHeight w:val="200"/>
                      <w:tblCellSpacing w:w="30" w:type="dxa"/>
                    </w:trPr>
                    <w:tc>
                      <w:tcPr>
                        <w:tcW w:w="0" w:type="auto"/>
                        <w:shd w:val="clear" w:color="auto" w:fill="FFFFFF"/>
                        <w:tcMar>
                          <w:top w:w="15" w:type="dxa"/>
                          <w:left w:w="15" w:type="dxa"/>
                          <w:bottom w:w="15" w:type="dxa"/>
                          <w:right w:w="15" w:type="dxa"/>
                        </w:tcMar>
                        <w:vAlign w:val="center"/>
                        <w:hideMark/>
                      </w:tcPr>
                      <w:p w14:paraId="6DAEC3AE" w14:textId="77777777" w:rsidR="00AE23A1" w:rsidRPr="00AE23A1" w:rsidRDefault="00AE23A1" w:rsidP="00AE23A1">
                        <w:pPr>
                          <w:spacing w:line="300" w:lineRule="atLeast"/>
                          <w:rPr>
                            <w:rFonts w:ascii="Calibri" w:eastAsia="Times New Roman" w:hAnsi="Calibri" w:cs="Calibri"/>
                            <w:sz w:val="22"/>
                            <w:szCs w:val="22"/>
                          </w:rPr>
                        </w:pPr>
                        <w:r w:rsidRPr="00AE23A1">
                          <w:rPr>
                            <w:rFonts w:ascii="inherit" w:eastAsia="Times New Roman" w:hAnsi="inherit" w:cs="Calibri"/>
                            <w:color w:val="000000"/>
                            <w:sz w:val="2"/>
                            <w:szCs w:val="2"/>
                            <w:bdr w:val="none" w:sz="0" w:space="0" w:color="auto" w:frame="1"/>
                          </w:rPr>
                          <w:t> </w:t>
                        </w:r>
                      </w:p>
                    </w:tc>
                  </w:tr>
                </w:tbl>
                <w:p w14:paraId="66B351CD" w14:textId="77777777" w:rsidR="00AE23A1" w:rsidRPr="00AE23A1" w:rsidRDefault="00AE23A1" w:rsidP="00AE23A1">
                  <w:pPr>
                    <w:spacing w:line="360" w:lineRule="atLeast"/>
                    <w:outlineLvl w:val="2"/>
                    <w:rPr>
                      <w:rFonts w:ascii="Calibri" w:eastAsia="Times New Roman" w:hAnsi="Calibri" w:cs="Calibri"/>
                      <w:b/>
                      <w:bCs/>
                      <w:sz w:val="27"/>
                      <w:szCs w:val="27"/>
                    </w:rPr>
                  </w:pPr>
                  <w:r w:rsidRPr="00AE23A1">
                    <w:rPr>
                      <w:rFonts w:ascii="Arial" w:eastAsia="Times New Roman" w:hAnsi="Arial" w:cs="Arial"/>
                      <w:b/>
                      <w:bCs/>
                      <w:color w:val="000000"/>
                      <w:sz w:val="27"/>
                      <w:szCs w:val="27"/>
                      <w:bdr w:val="none" w:sz="0" w:space="0" w:color="auto" w:frame="1"/>
                    </w:rPr>
                    <w:t>Athene Ascent Pro 10 Bonus Income Base Bonus</w:t>
                  </w:r>
                </w:p>
                <w:p w14:paraId="08561605" w14:textId="77777777" w:rsidR="00AE23A1" w:rsidRPr="00AE23A1" w:rsidRDefault="00AE23A1" w:rsidP="00AE23A1">
                  <w:pPr>
                    <w:spacing w:beforeAutospacing="1" w:afterAutospacing="1" w:line="360" w:lineRule="atLeast"/>
                    <w:rPr>
                      <w:rFonts w:ascii="Times New Roman" w:eastAsia="Times New Roman" w:hAnsi="Times New Roman" w:cs="Times New Roman"/>
                    </w:rPr>
                  </w:pPr>
                  <w:r w:rsidRPr="00AE23A1">
                    <w:rPr>
                      <w:rFonts w:ascii="Arial" w:eastAsia="Times New Roman" w:hAnsi="Arial" w:cs="Arial"/>
                      <w:color w:val="000000"/>
                      <w:bdr w:val="none" w:sz="0" w:space="0" w:color="auto" w:frame="1"/>
                    </w:rPr>
                    <w:t>Download our Product Guide for rates and state approvals:</w:t>
                  </w:r>
                  <w:r w:rsidRPr="00AE23A1">
                    <w:rPr>
                      <w:rFonts w:ascii="Arial" w:eastAsia="Times New Roman" w:hAnsi="Arial" w:cs="Arial"/>
                      <w:color w:val="000000"/>
                      <w:bdr w:val="none" w:sz="0" w:space="0" w:color="auto" w:frame="1"/>
                    </w:rPr>
                    <w:br/>
                    <w:t>Most states: </w:t>
                  </w:r>
                  <w:hyperlink r:id="rId20" w:tgtFrame="_blank" w:history="1">
                    <w:r w:rsidRPr="00AE23A1">
                      <w:rPr>
                        <w:rFonts w:ascii="Arial" w:eastAsia="Times New Roman" w:hAnsi="Arial" w:cs="Arial"/>
                        <w:color w:val="0000FF"/>
                        <w:u w:val="single"/>
                        <w:bdr w:val="none" w:sz="0" w:space="0" w:color="auto" w:frame="1"/>
                      </w:rPr>
                      <w:t>Form 65220</w:t>
                    </w:r>
                  </w:hyperlink>
                  <w:r w:rsidRPr="00AE23A1">
                    <w:rPr>
                      <w:rFonts w:ascii="Arial" w:eastAsia="Times New Roman" w:hAnsi="Arial" w:cs="Arial"/>
                      <w:color w:val="000000"/>
                      <w:bdr w:val="none" w:sz="0" w:space="0" w:color="auto" w:frame="1"/>
                    </w:rPr>
                    <w:br/>
                    <w:t>Oregon: </w:t>
                  </w:r>
                  <w:hyperlink r:id="rId21" w:tgtFrame="_blank" w:history="1">
                    <w:r w:rsidRPr="00AE23A1">
                      <w:rPr>
                        <w:rFonts w:ascii="Arial" w:eastAsia="Times New Roman" w:hAnsi="Arial" w:cs="Arial"/>
                        <w:color w:val="0000FF"/>
                        <w:u w:val="single"/>
                        <w:bdr w:val="none" w:sz="0" w:space="0" w:color="auto" w:frame="1"/>
                      </w:rPr>
                      <w:t>Form 65289</w:t>
                    </w:r>
                  </w:hyperlink>
                </w:p>
                <w:tbl>
                  <w:tblPr>
                    <w:tblW w:w="9000" w:type="dxa"/>
                    <w:tblCellSpacing w:w="0" w:type="dxa"/>
                    <w:tblBorders>
                      <w:bottom w:val="single" w:sz="8" w:space="0" w:color="CCCCCC"/>
                    </w:tblBorders>
                    <w:tblCellMar>
                      <w:left w:w="0" w:type="dxa"/>
                      <w:right w:w="0" w:type="dxa"/>
                    </w:tblCellMar>
                    <w:tblLook w:val="04A0" w:firstRow="1" w:lastRow="0" w:firstColumn="1" w:lastColumn="0" w:noHBand="0" w:noVBand="1"/>
                  </w:tblPr>
                  <w:tblGrid>
                    <w:gridCol w:w="2234"/>
                    <w:gridCol w:w="2214"/>
                    <w:gridCol w:w="2234"/>
                    <w:gridCol w:w="2318"/>
                  </w:tblGrid>
                  <w:tr w:rsidR="00AE23A1" w:rsidRPr="00AE23A1" w14:paraId="72A1D7E3" w14:textId="77777777">
                    <w:trPr>
                      <w:tblCellSpacing w:w="0" w:type="dxa"/>
                    </w:trPr>
                    <w:tc>
                      <w:tcPr>
                        <w:tcW w:w="2130" w:type="dxa"/>
                        <w:tcBorders>
                          <w:top w:val="nil"/>
                          <w:left w:val="nil"/>
                          <w:bottom w:val="nil"/>
                          <w:right w:val="single" w:sz="8" w:space="0" w:color="666666"/>
                        </w:tcBorders>
                        <w:shd w:val="clear" w:color="auto" w:fill="10175F"/>
                        <w:tcMar>
                          <w:top w:w="50" w:type="dxa"/>
                          <w:left w:w="50" w:type="dxa"/>
                          <w:bottom w:w="50" w:type="dxa"/>
                          <w:right w:w="50" w:type="dxa"/>
                        </w:tcMar>
                        <w:vAlign w:val="center"/>
                        <w:hideMark/>
                      </w:tcPr>
                      <w:p w14:paraId="69976A8C" w14:textId="77777777" w:rsidR="00AE23A1" w:rsidRPr="00AE23A1" w:rsidRDefault="00AE23A1" w:rsidP="00AE23A1">
                        <w:pPr>
                          <w:spacing w:line="240" w:lineRule="atLeast"/>
                          <w:jc w:val="center"/>
                          <w:rPr>
                            <w:rFonts w:ascii="Calibri" w:eastAsia="Times New Roman" w:hAnsi="Calibri" w:cs="Calibri"/>
                            <w:sz w:val="22"/>
                            <w:szCs w:val="22"/>
                          </w:rPr>
                        </w:pPr>
                        <w:r w:rsidRPr="00AE23A1">
                          <w:rPr>
                            <w:rFonts w:ascii="Arial" w:eastAsia="Times New Roman" w:hAnsi="Arial" w:cs="Arial"/>
                            <w:b/>
                            <w:bCs/>
                            <w:color w:val="FFFFFF"/>
                            <w:sz w:val="21"/>
                            <w:szCs w:val="21"/>
                            <w:bdr w:val="none" w:sz="0" w:space="0" w:color="auto" w:frame="1"/>
                          </w:rPr>
                          <w:t>Ascent Pro 10 Bonus</w:t>
                        </w:r>
                      </w:p>
                    </w:tc>
                    <w:tc>
                      <w:tcPr>
                        <w:tcW w:w="2130" w:type="dxa"/>
                        <w:tcBorders>
                          <w:top w:val="nil"/>
                          <w:left w:val="nil"/>
                          <w:bottom w:val="nil"/>
                          <w:right w:val="single" w:sz="8" w:space="0" w:color="666666"/>
                        </w:tcBorders>
                        <w:shd w:val="clear" w:color="auto" w:fill="10175F"/>
                        <w:tcMar>
                          <w:top w:w="50" w:type="dxa"/>
                          <w:left w:w="50" w:type="dxa"/>
                          <w:bottom w:w="50" w:type="dxa"/>
                          <w:right w:w="50" w:type="dxa"/>
                        </w:tcMar>
                        <w:vAlign w:val="center"/>
                        <w:hideMark/>
                      </w:tcPr>
                      <w:p w14:paraId="70DF678E"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1"/>
                            <w:szCs w:val="21"/>
                            <w:bdr w:val="none" w:sz="0" w:space="0" w:color="auto" w:frame="1"/>
                          </w:rPr>
                          <w:t>Rider Option</w:t>
                        </w:r>
                      </w:p>
                    </w:tc>
                    <w:tc>
                      <w:tcPr>
                        <w:tcW w:w="4380" w:type="dxa"/>
                        <w:gridSpan w:val="2"/>
                        <w:tcBorders>
                          <w:top w:val="nil"/>
                          <w:left w:val="nil"/>
                          <w:bottom w:val="nil"/>
                          <w:right w:val="single" w:sz="8" w:space="0" w:color="666666"/>
                        </w:tcBorders>
                        <w:shd w:val="clear" w:color="auto" w:fill="10175F"/>
                        <w:tcMar>
                          <w:top w:w="50" w:type="dxa"/>
                          <w:left w:w="50" w:type="dxa"/>
                          <w:bottom w:w="50" w:type="dxa"/>
                          <w:right w:w="50" w:type="dxa"/>
                        </w:tcMar>
                        <w:vAlign w:val="center"/>
                        <w:hideMark/>
                      </w:tcPr>
                      <w:p w14:paraId="4594A59A"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1"/>
                            <w:szCs w:val="21"/>
                            <w:bdr w:val="none" w:sz="0" w:space="0" w:color="auto" w:frame="1"/>
                          </w:rPr>
                          <w:t>Income Base Bonus</w:t>
                        </w:r>
                      </w:p>
                    </w:tc>
                  </w:tr>
                  <w:tr w:rsidR="00AE23A1" w:rsidRPr="00AE23A1" w14:paraId="54496619" w14:textId="77777777">
                    <w:trPr>
                      <w:tblCellSpacing w:w="0" w:type="dxa"/>
                    </w:trPr>
                    <w:tc>
                      <w:tcPr>
                        <w:tcW w:w="2150" w:type="dxa"/>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45E42297"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color w:val="FFFFFF"/>
                            <w:sz w:val="20"/>
                            <w:szCs w:val="20"/>
                            <w:bdr w:val="none" w:sz="0" w:space="0" w:color="auto" w:frame="1"/>
                          </w:rPr>
                          <w:t> </w:t>
                        </w:r>
                      </w:p>
                    </w:tc>
                    <w:tc>
                      <w:tcPr>
                        <w:tcW w:w="2130" w:type="dxa"/>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5C0FCFE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FFFFFF"/>
                            <w:sz w:val="20"/>
                            <w:szCs w:val="20"/>
                            <w:bdr w:val="none" w:sz="0" w:space="0" w:color="auto" w:frame="1"/>
                          </w:rPr>
                          <w:t> </w:t>
                        </w:r>
                      </w:p>
                    </w:tc>
                    <w:tc>
                      <w:tcPr>
                        <w:tcW w:w="2150" w:type="dxa"/>
                        <w:tcBorders>
                          <w:top w:val="nil"/>
                          <w:left w:val="nil"/>
                          <w:bottom w:val="single" w:sz="8" w:space="0" w:color="666666"/>
                          <w:right w:val="nil"/>
                        </w:tcBorders>
                        <w:shd w:val="clear" w:color="auto" w:fill="CCCCCC"/>
                        <w:tcMar>
                          <w:top w:w="50" w:type="dxa"/>
                          <w:left w:w="50" w:type="dxa"/>
                          <w:bottom w:w="50" w:type="dxa"/>
                          <w:right w:w="50" w:type="dxa"/>
                        </w:tcMar>
                        <w:vAlign w:val="center"/>
                        <w:hideMark/>
                      </w:tcPr>
                      <w:p w14:paraId="65A78A9C"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333333"/>
                            <w:sz w:val="20"/>
                            <w:szCs w:val="20"/>
                            <w:bdr w:val="none" w:sz="0" w:space="0" w:color="auto" w:frame="1"/>
                          </w:rPr>
                          <w:t>Current</w:t>
                        </w:r>
                      </w:p>
                    </w:tc>
                    <w:tc>
                      <w:tcPr>
                        <w:tcW w:w="2130" w:type="dxa"/>
                        <w:tcBorders>
                          <w:top w:val="nil"/>
                          <w:left w:val="nil"/>
                          <w:bottom w:val="single" w:sz="8" w:space="0" w:color="666666"/>
                          <w:right w:val="single" w:sz="8" w:space="0" w:color="666666"/>
                        </w:tcBorders>
                        <w:shd w:val="clear" w:color="auto" w:fill="56A0D3"/>
                        <w:tcMar>
                          <w:top w:w="50" w:type="dxa"/>
                          <w:left w:w="50" w:type="dxa"/>
                          <w:bottom w:w="50" w:type="dxa"/>
                          <w:right w:w="50" w:type="dxa"/>
                        </w:tcMar>
                        <w:vAlign w:val="center"/>
                        <w:hideMark/>
                      </w:tcPr>
                      <w:p w14:paraId="677D7DA1"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New</w:t>
                        </w:r>
                      </w:p>
                    </w:tc>
                  </w:tr>
                  <w:tr w:rsidR="00AE23A1" w:rsidRPr="00AE23A1" w14:paraId="181E4550" w14:textId="77777777">
                    <w:trPr>
                      <w:tblCellSpacing w:w="0" w:type="dxa"/>
                    </w:trPr>
                    <w:tc>
                      <w:tcPr>
                        <w:tcW w:w="0" w:type="auto"/>
                        <w:vMerge w:val="restart"/>
                        <w:tcBorders>
                          <w:top w:val="nil"/>
                          <w:left w:val="nil"/>
                          <w:bottom w:val="single" w:sz="8" w:space="0" w:color="666666"/>
                          <w:right w:val="nil"/>
                        </w:tcBorders>
                        <w:shd w:val="clear" w:color="auto" w:fill="56A0D3"/>
                        <w:tcMar>
                          <w:top w:w="50" w:type="dxa"/>
                          <w:left w:w="50" w:type="dxa"/>
                          <w:bottom w:w="50" w:type="dxa"/>
                          <w:right w:w="50" w:type="dxa"/>
                        </w:tcMar>
                        <w:vAlign w:val="center"/>
                        <w:hideMark/>
                      </w:tcPr>
                      <w:p w14:paraId="1EDEBA68"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b/>
                            <w:bCs/>
                            <w:color w:val="FFFFFF"/>
                            <w:sz w:val="20"/>
                            <w:szCs w:val="20"/>
                            <w:bdr w:val="none" w:sz="0" w:space="0" w:color="auto" w:frame="1"/>
                          </w:rPr>
                          <w:t>All States</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61A1DBC8"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Option 1</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197963BF"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10%</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60F452ED"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20%</w:t>
                        </w:r>
                      </w:p>
                    </w:tc>
                  </w:tr>
                  <w:tr w:rsidR="00AE23A1" w:rsidRPr="00AE23A1" w14:paraId="4851A184" w14:textId="77777777">
                    <w:trPr>
                      <w:tblCellSpacing w:w="0" w:type="dxa"/>
                    </w:trPr>
                    <w:tc>
                      <w:tcPr>
                        <w:tcW w:w="0" w:type="auto"/>
                        <w:vMerge/>
                        <w:tcBorders>
                          <w:top w:val="nil"/>
                          <w:left w:val="nil"/>
                          <w:bottom w:val="single" w:sz="8" w:space="0" w:color="666666"/>
                          <w:right w:val="nil"/>
                        </w:tcBorders>
                        <w:vAlign w:val="center"/>
                        <w:hideMark/>
                      </w:tcPr>
                      <w:p w14:paraId="5C55C12A" w14:textId="77777777" w:rsidR="00AE23A1" w:rsidRPr="00AE23A1" w:rsidRDefault="00AE23A1" w:rsidP="00AE23A1">
                        <w:pPr>
                          <w:rPr>
                            <w:rFonts w:ascii="Calibri" w:eastAsia="Times New Roman" w:hAnsi="Calibri" w:cs="Calibri"/>
                            <w:sz w:val="22"/>
                            <w:szCs w:val="22"/>
                          </w:rPr>
                        </w:pP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60E03D73"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Option 2</w:t>
                        </w:r>
                      </w:p>
                    </w:tc>
                    <w:tc>
                      <w:tcPr>
                        <w:tcW w:w="0" w:type="auto"/>
                        <w:tcBorders>
                          <w:top w:val="nil"/>
                          <w:left w:val="nil"/>
                          <w:bottom w:val="single" w:sz="8" w:space="0" w:color="666666"/>
                          <w:right w:val="nil"/>
                        </w:tcBorders>
                        <w:shd w:val="clear" w:color="auto" w:fill="EEEEEE"/>
                        <w:tcMar>
                          <w:top w:w="50" w:type="dxa"/>
                          <w:left w:w="50" w:type="dxa"/>
                          <w:bottom w:w="50" w:type="dxa"/>
                          <w:right w:w="50" w:type="dxa"/>
                        </w:tcMar>
                        <w:vAlign w:val="center"/>
                        <w:hideMark/>
                      </w:tcPr>
                      <w:p w14:paraId="15A252C6" w14:textId="77777777" w:rsidR="00AE23A1" w:rsidRPr="00AE23A1" w:rsidRDefault="00AE23A1" w:rsidP="00AE23A1">
                        <w:pPr>
                          <w:spacing w:line="300" w:lineRule="atLeast"/>
                          <w:jc w:val="center"/>
                          <w:rPr>
                            <w:rFonts w:ascii="Calibri" w:eastAsia="Times New Roman" w:hAnsi="Calibri" w:cs="Calibri"/>
                            <w:sz w:val="22"/>
                            <w:szCs w:val="22"/>
                          </w:rPr>
                        </w:pPr>
                        <w:r w:rsidRPr="00AE23A1">
                          <w:rPr>
                            <w:rFonts w:ascii="Arial" w:eastAsia="Times New Roman" w:hAnsi="Arial" w:cs="Arial"/>
                            <w:color w:val="333333"/>
                            <w:sz w:val="20"/>
                            <w:szCs w:val="20"/>
                            <w:bdr w:val="none" w:sz="0" w:space="0" w:color="auto" w:frame="1"/>
                          </w:rPr>
                          <w:t>5%</w:t>
                        </w:r>
                      </w:p>
                    </w:tc>
                    <w:tc>
                      <w:tcPr>
                        <w:tcW w:w="0" w:type="auto"/>
                        <w:tcBorders>
                          <w:top w:val="nil"/>
                          <w:left w:val="nil"/>
                          <w:bottom w:val="single" w:sz="8" w:space="0" w:color="666666"/>
                          <w:right w:val="single" w:sz="8" w:space="0" w:color="666666"/>
                        </w:tcBorders>
                        <w:shd w:val="clear" w:color="auto" w:fill="FFFFFF"/>
                        <w:tcMar>
                          <w:top w:w="50" w:type="dxa"/>
                          <w:left w:w="50" w:type="dxa"/>
                          <w:bottom w:w="50" w:type="dxa"/>
                          <w:right w:w="50" w:type="dxa"/>
                        </w:tcMar>
                        <w:vAlign w:val="center"/>
                        <w:hideMark/>
                      </w:tcPr>
                      <w:p w14:paraId="0F4E4249" w14:textId="77777777" w:rsidR="00AE23A1" w:rsidRPr="00AE23A1" w:rsidRDefault="00AE23A1" w:rsidP="00AE23A1">
                        <w:pPr>
                          <w:spacing w:line="225" w:lineRule="atLeast"/>
                          <w:jc w:val="center"/>
                          <w:rPr>
                            <w:rFonts w:ascii="Calibri" w:eastAsia="Times New Roman" w:hAnsi="Calibri" w:cs="Calibri"/>
                            <w:sz w:val="22"/>
                            <w:szCs w:val="22"/>
                          </w:rPr>
                        </w:pPr>
                        <w:r w:rsidRPr="00AE23A1">
                          <w:rPr>
                            <w:rFonts w:ascii="Arial" w:eastAsia="Times New Roman" w:hAnsi="Arial" w:cs="Arial"/>
                            <w:b/>
                            <w:bCs/>
                            <w:color w:val="000000"/>
                            <w:sz w:val="20"/>
                            <w:szCs w:val="20"/>
                            <w:bdr w:val="none" w:sz="0" w:space="0" w:color="auto" w:frame="1"/>
                          </w:rPr>
                          <w:t>15%</w:t>
                        </w:r>
                      </w:p>
                    </w:tc>
                  </w:tr>
                </w:tbl>
                <w:p w14:paraId="7EAE2B3A" w14:textId="77777777" w:rsidR="00AE23A1" w:rsidRPr="00AE23A1" w:rsidRDefault="00AE23A1" w:rsidP="00AE23A1">
                  <w:pPr>
                    <w:rPr>
                      <w:rFonts w:ascii="Times New Roman" w:eastAsia="Times New Roman" w:hAnsi="Times New Roman" w:cs="Times New Roman"/>
                      <w:vanish/>
                    </w:rPr>
                  </w:pPr>
                </w:p>
                <w:tbl>
                  <w:tblPr>
                    <w:tblW w:w="0" w:type="auto"/>
                    <w:tblCellSpacing w:w="30" w:type="dxa"/>
                    <w:tblCellMar>
                      <w:left w:w="0" w:type="dxa"/>
                      <w:right w:w="0" w:type="dxa"/>
                    </w:tblCellMar>
                    <w:tblLook w:val="04A0" w:firstRow="1" w:lastRow="0" w:firstColumn="1" w:lastColumn="0" w:noHBand="0" w:noVBand="1"/>
                  </w:tblPr>
                  <w:tblGrid>
                    <w:gridCol w:w="156"/>
                  </w:tblGrid>
                  <w:tr w:rsidR="00AE23A1" w:rsidRPr="00AE23A1" w14:paraId="4B64431C" w14:textId="77777777">
                    <w:trPr>
                      <w:trHeight w:val="200"/>
                      <w:tblCellSpacing w:w="30" w:type="dxa"/>
                    </w:trPr>
                    <w:tc>
                      <w:tcPr>
                        <w:tcW w:w="0" w:type="auto"/>
                        <w:shd w:val="clear" w:color="auto" w:fill="FFFFFF"/>
                        <w:tcMar>
                          <w:top w:w="15" w:type="dxa"/>
                          <w:left w:w="15" w:type="dxa"/>
                          <w:bottom w:w="15" w:type="dxa"/>
                          <w:right w:w="15" w:type="dxa"/>
                        </w:tcMar>
                        <w:vAlign w:val="center"/>
                        <w:hideMark/>
                      </w:tcPr>
                      <w:p w14:paraId="7ABD4DF2" w14:textId="77777777" w:rsidR="00AE23A1" w:rsidRPr="00AE23A1" w:rsidRDefault="00AE23A1" w:rsidP="00AE23A1">
                        <w:pPr>
                          <w:spacing w:line="300" w:lineRule="atLeast"/>
                          <w:rPr>
                            <w:rFonts w:ascii="Calibri" w:eastAsia="Times New Roman" w:hAnsi="Calibri" w:cs="Calibri"/>
                            <w:sz w:val="22"/>
                            <w:szCs w:val="22"/>
                          </w:rPr>
                        </w:pPr>
                        <w:r w:rsidRPr="00AE23A1">
                          <w:rPr>
                            <w:rFonts w:ascii="inherit" w:eastAsia="Times New Roman" w:hAnsi="inherit" w:cs="Calibri"/>
                            <w:color w:val="000000"/>
                            <w:sz w:val="2"/>
                            <w:szCs w:val="2"/>
                            <w:bdr w:val="none" w:sz="0" w:space="0" w:color="auto" w:frame="1"/>
                          </w:rPr>
                          <w:t> </w:t>
                        </w:r>
                      </w:p>
                    </w:tc>
                  </w:tr>
                </w:tbl>
                <w:p w14:paraId="606F6F4C" w14:textId="77777777" w:rsidR="00AE23A1" w:rsidRPr="00AE23A1" w:rsidRDefault="00AE23A1" w:rsidP="00AE23A1">
                  <w:pPr>
                    <w:rPr>
                      <w:rFonts w:ascii="Times New Roman" w:eastAsia="Times New Roman" w:hAnsi="Times New Roman" w:cs="Times New Roman"/>
                    </w:rPr>
                  </w:pPr>
                </w:p>
              </w:tc>
            </w:tr>
            <w:tr w:rsidR="00AE23A1" w:rsidRPr="00AE23A1" w14:paraId="1A10E3EA" w14:textId="77777777">
              <w:trPr>
                <w:trHeight w:val="100"/>
                <w:tblCellSpacing w:w="0" w:type="dxa"/>
              </w:trPr>
              <w:tc>
                <w:tcPr>
                  <w:tcW w:w="0" w:type="auto"/>
                  <w:shd w:val="clear" w:color="auto" w:fill="FFFFFF"/>
                  <w:vAlign w:val="center"/>
                  <w:hideMark/>
                </w:tcPr>
                <w:p w14:paraId="5CBB574C" w14:textId="77777777" w:rsidR="00AE23A1" w:rsidRPr="00AE23A1" w:rsidRDefault="00AE23A1" w:rsidP="00AE23A1">
                  <w:pPr>
                    <w:spacing w:line="0" w:lineRule="atLeast"/>
                    <w:rPr>
                      <w:rFonts w:ascii="Calibri" w:eastAsia="Times New Roman" w:hAnsi="Calibri" w:cs="Calibri"/>
                      <w:sz w:val="22"/>
                      <w:szCs w:val="22"/>
                    </w:rPr>
                  </w:pPr>
                  <w:r w:rsidRPr="00AE23A1">
                    <w:rPr>
                      <w:rFonts w:ascii="inherit" w:eastAsia="Times New Roman" w:hAnsi="inherit" w:cs="Calibri"/>
                      <w:color w:val="000000"/>
                      <w:sz w:val="2"/>
                      <w:szCs w:val="2"/>
                      <w:bdr w:val="none" w:sz="0" w:space="0" w:color="auto" w:frame="1"/>
                    </w:rPr>
                    <w:lastRenderedPageBreak/>
                    <w:t> </w:t>
                  </w:r>
                </w:p>
              </w:tc>
            </w:tr>
            <w:tr w:rsidR="00AE23A1" w:rsidRPr="00AE23A1" w14:paraId="61BDAF70" w14:textId="77777777">
              <w:trPr>
                <w:tblCellSpacing w:w="0" w:type="dxa"/>
              </w:trPr>
              <w:tc>
                <w:tcPr>
                  <w:tcW w:w="0" w:type="auto"/>
                  <w:vAlign w:val="center"/>
                  <w:hideMark/>
                </w:tcPr>
                <w:p w14:paraId="150451AA" w14:textId="77777777" w:rsidR="00AE23A1" w:rsidRPr="00AE23A1" w:rsidRDefault="00AE23A1" w:rsidP="00AE23A1">
                  <w:pPr>
                    <w:spacing w:beforeAutospacing="1" w:afterAutospacing="1" w:line="360" w:lineRule="atLeast"/>
                    <w:rPr>
                      <w:rFonts w:ascii="Times New Roman" w:eastAsia="Times New Roman" w:hAnsi="Times New Roman" w:cs="Times New Roman"/>
                    </w:rPr>
                  </w:pPr>
                  <w:r w:rsidRPr="00AE23A1">
                    <w:rPr>
                      <w:rFonts w:ascii="Arial" w:eastAsia="Times New Roman" w:hAnsi="Arial" w:cs="Arial"/>
                      <w:bdr w:val="none" w:sz="0" w:space="0" w:color="auto" w:frame="1"/>
                    </w:rPr>
                    <w:t>Thank you for your business. At Athene, we’re committed to help take you to the next level. For product and sales support, please contact the best Sales Desk in the business at </w:t>
                  </w:r>
                  <w:r w:rsidRPr="00AE23A1">
                    <w:rPr>
                      <w:rFonts w:ascii="Arial" w:eastAsia="Times New Roman" w:hAnsi="Arial" w:cs="Arial"/>
                      <w:b/>
                      <w:bCs/>
                      <w:bdr w:val="none" w:sz="0" w:space="0" w:color="auto" w:frame="1"/>
                    </w:rPr>
                    <w:t>888</w:t>
                  </w:r>
                  <w:r w:rsidRPr="00AE23A1">
                    <w:rPr>
                      <w:rFonts w:ascii="Arial" w:eastAsia="Times New Roman" w:hAnsi="Arial" w:cs="Arial"/>
                      <w:b/>
                      <w:bCs/>
                      <w:bdr w:val="none" w:sz="0" w:space="0" w:color="auto" w:frame="1"/>
                    </w:rPr>
                    <w:noBreakHyphen/>
                    <w:t>ANNUITY (266</w:t>
                  </w:r>
                  <w:r w:rsidRPr="00AE23A1">
                    <w:rPr>
                      <w:rFonts w:ascii="Arial" w:eastAsia="Times New Roman" w:hAnsi="Arial" w:cs="Arial"/>
                      <w:b/>
                      <w:bCs/>
                      <w:bdr w:val="none" w:sz="0" w:space="0" w:color="auto" w:frame="1"/>
                    </w:rPr>
                    <w:noBreakHyphen/>
                    <w:t>8489).</w:t>
                  </w:r>
                </w:p>
              </w:tc>
            </w:tr>
            <w:tr w:rsidR="00AE23A1" w:rsidRPr="00AE23A1" w14:paraId="352C010B" w14:textId="77777777">
              <w:trPr>
                <w:trHeight w:val="300"/>
                <w:tblCellSpacing w:w="0" w:type="dxa"/>
              </w:trPr>
              <w:tc>
                <w:tcPr>
                  <w:tcW w:w="0" w:type="auto"/>
                  <w:tcBorders>
                    <w:top w:val="nil"/>
                    <w:left w:val="nil"/>
                    <w:bottom w:val="single" w:sz="8" w:space="0" w:color="666666"/>
                    <w:right w:val="nil"/>
                  </w:tcBorders>
                  <w:hideMark/>
                </w:tcPr>
                <w:p w14:paraId="45003CDF" w14:textId="77777777" w:rsidR="00AE23A1" w:rsidRPr="00AE23A1" w:rsidRDefault="00AE23A1" w:rsidP="00AE23A1">
                  <w:pPr>
                    <w:spacing w:line="300" w:lineRule="atLeast"/>
                    <w:rPr>
                      <w:rFonts w:ascii="Calibri" w:eastAsia="Times New Roman" w:hAnsi="Calibri" w:cs="Calibri"/>
                      <w:sz w:val="22"/>
                      <w:szCs w:val="22"/>
                    </w:rPr>
                  </w:pPr>
                  <w:r w:rsidRPr="00AE23A1">
                    <w:rPr>
                      <w:rFonts w:ascii="Arial" w:eastAsia="Times New Roman" w:hAnsi="Arial" w:cs="Arial"/>
                      <w:sz w:val="21"/>
                      <w:szCs w:val="21"/>
                      <w:bdr w:val="none" w:sz="0" w:space="0" w:color="auto" w:frame="1"/>
                    </w:rPr>
                    <w:t> </w:t>
                  </w:r>
                </w:p>
              </w:tc>
            </w:tr>
            <w:tr w:rsidR="00AE23A1" w:rsidRPr="00AE23A1" w14:paraId="0E7B731D" w14:textId="77777777">
              <w:trPr>
                <w:trHeight w:val="250"/>
                <w:tblCellSpacing w:w="0" w:type="dxa"/>
              </w:trPr>
              <w:tc>
                <w:tcPr>
                  <w:tcW w:w="0" w:type="auto"/>
                  <w:hideMark/>
                </w:tcPr>
                <w:p w14:paraId="7430C827" w14:textId="77777777" w:rsidR="00AE23A1" w:rsidRPr="00AE23A1" w:rsidRDefault="00AE23A1" w:rsidP="00AE23A1">
                  <w:pPr>
                    <w:spacing w:line="270" w:lineRule="atLeast"/>
                    <w:rPr>
                      <w:rFonts w:ascii="Calibri" w:eastAsia="Times New Roman" w:hAnsi="Calibri" w:cs="Calibri"/>
                      <w:sz w:val="22"/>
                      <w:szCs w:val="22"/>
                    </w:rPr>
                  </w:pPr>
                  <w:r w:rsidRPr="00AE23A1">
                    <w:rPr>
                      <w:rFonts w:ascii="Arial" w:eastAsia="Times New Roman" w:hAnsi="Arial" w:cs="Arial"/>
                      <w:sz w:val="20"/>
                      <w:szCs w:val="20"/>
                      <w:bdr w:val="none" w:sz="0" w:space="0" w:color="auto" w:frame="1"/>
                    </w:rPr>
                    <w:t> </w:t>
                  </w:r>
                </w:p>
              </w:tc>
            </w:tr>
            <w:tr w:rsidR="00AE23A1" w:rsidRPr="00AE23A1" w14:paraId="38920D5A" w14:textId="77777777">
              <w:trPr>
                <w:tblCellSpacing w:w="0" w:type="dxa"/>
              </w:trPr>
              <w:tc>
                <w:tcPr>
                  <w:tcW w:w="0" w:type="auto"/>
                  <w:hideMark/>
                </w:tcPr>
                <w:p w14:paraId="30FBC53A" w14:textId="77777777" w:rsidR="00AE23A1" w:rsidRPr="00AE23A1" w:rsidRDefault="00AE23A1" w:rsidP="00AE23A1">
                  <w:pPr>
                    <w:spacing w:beforeAutospacing="1" w:afterAutospacing="1" w:line="270" w:lineRule="atLeast"/>
                    <w:rPr>
                      <w:rFonts w:ascii="Times New Roman" w:eastAsia="Times New Roman" w:hAnsi="Times New Roman" w:cs="Times New Roman"/>
                    </w:rPr>
                  </w:pPr>
                  <w:r w:rsidRPr="00AE23A1">
                    <w:rPr>
                      <w:rFonts w:ascii="Arial" w:eastAsia="Times New Roman" w:hAnsi="Arial" w:cs="Arial"/>
                      <w:sz w:val="20"/>
                      <w:szCs w:val="20"/>
                      <w:bdr w:val="none" w:sz="0" w:space="0" w:color="auto" w:frame="1"/>
                    </w:rPr>
                    <w:lastRenderedPageBreak/>
                    <w:t>Rates are subject to change at any time.</w:t>
                  </w:r>
                </w:p>
                <w:p w14:paraId="45CA038F" w14:textId="77777777" w:rsidR="00AE23A1" w:rsidRPr="00AE23A1" w:rsidRDefault="00AE23A1" w:rsidP="00AE23A1">
                  <w:pPr>
                    <w:spacing w:beforeAutospacing="1" w:afterAutospacing="1" w:line="270" w:lineRule="atLeast"/>
                    <w:rPr>
                      <w:rFonts w:ascii="Times New Roman" w:eastAsia="Times New Roman" w:hAnsi="Times New Roman" w:cs="Times New Roman"/>
                    </w:rPr>
                  </w:pPr>
                  <w:r w:rsidRPr="00AE23A1">
                    <w:rPr>
                      <w:rFonts w:ascii="Arial" w:eastAsia="Times New Roman" w:hAnsi="Arial" w:cs="Arial"/>
                      <w:sz w:val="21"/>
                      <w:szCs w:val="21"/>
                      <w:bdr w:val="none" w:sz="0" w:space="0" w:color="auto" w:frame="1"/>
                    </w:rPr>
                    <w:t>Athene Ascent Pro [GEN (09/15) NB, GEN10 (04/14)] and Athene Ascent Income Rider [IR1 (09/15), IR2 (09/15)] or state variations are issued by Athene Annuity and Life Company, West Des Moines, IA. Product features, limitations and availability vary; see the Certificate of Disclosure for details. Products not available in all states.</w:t>
                  </w:r>
                </w:p>
                <w:p w14:paraId="71F75558" w14:textId="77777777" w:rsidR="00AE23A1" w:rsidRPr="00AE23A1" w:rsidRDefault="00AE23A1" w:rsidP="00AE23A1">
                  <w:pPr>
                    <w:spacing w:beforeAutospacing="1" w:afterAutospacing="1" w:line="270" w:lineRule="atLeast"/>
                    <w:rPr>
                      <w:rFonts w:ascii="Times New Roman" w:eastAsia="Times New Roman" w:hAnsi="Times New Roman" w:cs="Times New Roman"/>
                    </w:rPr>
                  </w:pPr>
                  <w:r w:rsidRPr="00AE23A1">
                    <w:rPr>
                      <w:rFonts w:ascii="Arial" w:eastAsia="Times New Roman" w:hAnsi="Arial" w:cs="Arial"/>
                      <w:sz w:val="21"/>
                      <w:szCs w:val="21"/>
                      <w:bdr w:val="none" w:sz="0" w:space="0" w:color="auto" w:frame="1"/>
                    </w:rPr>
                    <w:t>Athene Ascent Pro 10 Bonus [GEN10 (04/14)] and Athene Ascent Income Rider [IR1 (09/15), IR2 (09/15)] or state variations are issued by Athene Annuity and Life Company, West Des Moines, IA. Product features, limitations and availability vary; see the Certificate of Disclosure for details. Products not available in all states.</w:t>
                  </w:r>
                </w:p>
              </w:tc>
            </w:tr>
          </w:tbl>
          <w:p w14:paraId="5616FD40" w14:textId="77777777" w:rsidR="00AE23A1" w:rsidRPr="00AE23A1" w:rsidRDefault="00AE23A1" w:rsidP="00AE23A1">
            <w:pPr>
              <w:rPr>
                <w:rFonts w:ascii="Roboto" w:eastAsia="Times New Roman" w:hAnsi="Roboto" w:cs="Times New Roman"/>
                <w:color w:val="323130"/>
                <w:sz w:val="23"/>
                <w:szCs w:val="23"/>
              </w:rPr>
            </w:pPr>
          </w:p>
        </w:tc>
      </w:tr>
    </w:tbl>
    <w:p w14:paraId="0462CB29" w14:textId="77777777" w:rsidR="00FE19D1" w:rsidRDefault="00FE19D1"/>
    <w:sectPr w:rsidR="00FE19D1" w:rsidSect="00AE2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w:panose1 w:val="020B0604020202020204"/>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A1"/>
    <w:rsid w:val="000418A7"/>
    <w:rsid w:val="0017708E"/>
    <w:rsid w:val="00296269"/>
    <w:rsid w:val="00AE23A1"/>
    <w:rsid w:val="00B60969"/>
    <w:rsid w:val="00FE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C7C7F7"/>
  <w15:chartTrackingRefBased/>
  <w15:docId w15:val="{DD65F70A-513D-224B-B1B4-8E70A36F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E23A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23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23A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E23A1"/>
    <w:rPr>
      <w:b/>
      <w:bCs/>
    </w:rPr>
  </w:style>
  <w:style w:type="character" w:styleId="Hyperlink">
    <w:name w:val="Hyperlink"/>
    <w:basedOn w:val="DefaultParagraphFont"/>
    <w:uiPriority w:val="99"/>
    <w:semiHidden/>
    <w:unhideWhenUsed/>
    <w:rsid w:val="00AE23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re.athene.com/e/77262/n-about-athene-news-news-2020-/91jrny/603618176?h=T4Kkc-EgkxkJ0BlukXPrvgb0IQplbjNEN2ee_qXIUkc" TargetMode="External"/><Relationship Id="rId13" Type="http://schemas.openxmlformats.org/officeDocument/2006/relationships/hyperlink" Target="https://more.athene.com/e/77262/-8zvf3c-77262-196916-65291-pdf/91k4jt/603618176?h=T4Kkc-EgkxkJ0BlukXPrvgb0IQplbjNEN2ee_qXIUkc" TargetMode="External"/><Relationship Id="rId18" Type="http://schemas.openxmlformats.org/officeDocument/2006/relationships/hyperlink" Target="https://more.athene.com/e/77262/-8zvf37-77262-196912-65219-pdf/91k4jw/603618176?h=T4Kkc-EgkxkJ0BlukXPrvgb0IQplbjNEN2ee_qXIUkc" TargetMode="External"/><Relationship Id="rId3" Type="http://schemas.openxmlformats.org/officeDocument/2006/relationships/webSettings" Target="webSettings.xml"/><Relationship Id="rId21" Type="http://schemas.openxmlformats.org/officeDocument/2006/relationships/hyperlink" Target="https://more.athene.com/e/77262/-8zvf2y-77262-196904-65289-pdf/91k4k7/603618176?h=T4Kkc-EgkxkJ0BlukXPrvgb0IQplbjNEN2ee_qXIUkc" TargetMode="External"/><Relationship Id="rId7" Type="http://schemas.openxmlformats.org/officeDocument/2006/relationships/hyperlink" Target="https://more.athene.com/e/77262/e-agent-home-salesservicetools/91jrnw/603618176?h=T4Kkc-EgkxkJ0BlukXPrvgb0IQplbjNEN2ee_qXIUkc" TargetMode="External"/><Relationship Id="rId12" Type="http://schemas.openxmlformats.org/officeDocument/2006/relationships/hyperlink" Target="https://more.athene.com/e/77262/-8zvf39-77262-196914-65258-pdf/91k4jr/603618176?h=T4Kkc-EgkxkJ0BlukXPrvgb0IQplbjNEN2ee_qXIUkc" TargetMode="External"/><Relationship Id="rId17" Type="http://schemas.openxmlformats.org/officeDocument/2006/relationships/hyperlink" Target="https://more.athene.com/e/77262/-8zvf31-77262-196906-65290-pdf/91k4k3/603618176?h=T4Kkc-EgkxkJ0BlukXPrvgb0IQplbjNEN2ee_qXIUkc" TargetMode="External"/><Relationship Id="rId2" Type="http://schemas.openxmlformats.org/officeDocument/2006/relationships/settings" Target="settings.xml"/><Relationship Id="rId16" Type="http://schemas.openxmlformats.org/officeDocument/2006/relationships/hyperlink" Target="https://more.athene.com/e/77262/-8zvf33-77262-196908-65257-pdf/91k4k1/603618176?h=T4Kkc-EgkxkJ0BlukXPrvgb0IQplbjNEN2ee_qXIUkc" TargetMode="External"/><Relationship Id="rId20" Type="http://schemas.openxmlformats.org/officeDocument/2006/relationships/hyperlink" Target="https://more.athene.com/e/77262/-8zvf2w-77262-196902-65220-pdf/91k4k5/603618176?h=T4Kkc-EgkxkJ0BlukXPrvgb0IQplbjNEN2ee_qXIUkc" TargetMode="External"/><Relationship Id="rId1" Type="http://schemas.openxmlformats.org/officeDocument/2006/relationships/styles" Target="styles.xml"/><Relationship Id="rId6" Type="http://schemas.openxmlformats.org/officeDocument/2006/relationships/hyperlink" Target="https://more.athene.com/e/77262/-agent-home-products-overview-/91jrnt/603618176?h=T4Kkc-EgkxkJ0BlukXPrvgb0IQplbjNEN2ee_qXIUkc" TargetMode="External"/><Relationship Id="rId11" Type="http://schemas.openxmlformats.org/officeDocument/2006/relationships/hyperlink" Target="https://more.athene.com/e/77262/-8zvf3h-77262-196920-65287-pdf/91k4jp/603618176?h=T4Kkc-EgkxkJ0BlukXPrvgb0IQplbjNEN2ee_qXIUkc" TargetMode="External"/><Relationship Id="rId5" Type="http://schemas.openxmlformats.org/officeDocument/2006/relationships/hyperlink" Target="https://more.athene.com/e/77262/al-mysite-agent-home-homepage-/91jrnr/603618176?h=T4Kkc-EgkxkJ0BlukXPrvgb0IQplbjNEN2ee_qXIUkc" TargetMode="External"/><Relationship Id="rId15" Type="http://schemas.openxmlformats.org/officeDocument/2006/relationships/hyperlink" Target="https://more.athene.com/e/77262/-8zvf35-77262-196910-65288-pdf/91k4jy/603618176?h=T4Kkc-EgkxkJ0BlukXPrvgb0IQplbjNEN2ee_qXIUkc" TargetMode="External"/><Relationship Id="rId23" Type="http://schemas.openxmlformats.org/officeDocument/2006/relationships/theme" Target="theme/theme1.xml"/><Relationship Id="rId10" Type="http://schemas.openxmlformats.org/officeDocument/2006/relationships/hyperlink" Target="https://more.athene.com/e/77262/-8zvf3f-77262-196918-65218-pdf/91k4jm/603618176?h=T4Kkc-EgkxkJ0BlukXPrvgb0IQplbjNEN2ee_qXIUkc" TargetMode="External"/><Relationship Id="rId19" Type="http://schemas.openxmlformats.org/officeDocument/2006/relationships/hyperlink" Target="https://more.athene.com/e/77262/-8zvf35-77262-196910-65288-pdf/91k4jy/603618176?h=T4Kkc-EgkxkJ0BlukXPrvgb0IQplbjNEN2ee_qXIUkc" TargetMode="External"/><Relationship Id="rId4" Type="http://schemas.openxmlformats.org/officeDocument/2006/relationships/image" Target="media/image1.png"/><Relationship Id="rId9" Type="http://schemas.openxmlformats.org/officeDocument/2006/relationships/hyperlink" Target="https://more.athene.com/e/77262/M3EQ-dl5-d5-L2dBISEvZ0FBIS9nQS/91jrp1/603618176?h=T4Kkc-EgkxkJ0BlukXPrvgb0IQplbjNEN2ee_qXIUkc" TargetMode="External"/><Relationship Id="rId14" Type="http://schemas.openxmlformats.org/officeDocument/2006/relationships/hyperlink" Target="https://more.athene.com/e/77262/-8zvf37-77262-196912-65219-pdf/91k4jw/603618176?h=T4Kkc-EgkxkJ0BlukXPrvgb0IQplbjNEN2ee_qXIUk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Crisafulli</dc:creator>
  <cp:keywords/>
  <dc:description/>
  <cp:lastModifiedBy>Teri Crisafulli</cp:lastModifiedBy>
  <cp:revision>1</cp:revision>
  <dcterms:created xsi:type="dcterms:W3CDTF">2020-02-21T14:54:00Z</dcterms:created>
  <dcterms:modified xsi:type="dcterms:W3CDTF">2020-02-21T16:27:00Z</dcterms:modified>
</cp:coreProperties>
</file>