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tblCellMar>
          <w:left w:w="0" w:type="dxa"/>
          <w:right w:w="0" w:type="dxa"/>
        </w:tblCellMar>
        <w:tblLook w:val="04A0" w:firstRow="1" w:lastRow="0" w:firstColumn="1" w:lastColumn="0" w:noHBand="0" w:noVBand="1"/>
      </w:tblPr>
      <w:tblGrid>
        <w:gridCol w:w="9000"/>
      </w:tblGrid>
      <w:tr w:rsidR="00654DD0" w:rsidRPr="00654DD0" w14:paraId="6AE0AB9D" w14:textId="77777777" w:rsidTr="00654DD0">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654DD0" w:rsidRPr="00654DD0" w14:paraId="08C13D4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54DD0" w:rsidRPr="00654DD0" w14:paraId="3B3149E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54DD0" w:rsidRPr="00654DD0" w14:paraId="636BCFD5" w14:textId="77777777">
                          <w:tc>
                            <w:tcPr>
                              <w:tcW w:w="0" w:type="auto"/>
                              <w:tcMar>
                                <w:top w:w="0" w:type="dxa"/>
                                <w:left w:w="270" w:type="dxa"/>
                                <w:bottom w:w="135" w:type="dxa"/>
                                <w:right w:w="270" w:type="dxa"/>
                              </w:tcMar>
                              <w:hideMark/>
                            </w:tcPr>
                            <w:p w14:paraId="170CDC4A" w14:textId="77777777" w:rsidR="00654DD0" w:rsidRPr="00654DD0" w:rsidRDefault="00654DD0" w:rsidP="00654DD0">
                              <w:pPr>
                                <w:spacing w:line="440" w:lineRule="atLeast"/>
                                <w:jc w:val="center"/>
                                <w:rPr>
                                  <w:rFonts w:ascii="Calibri" w:eastAsia="Times New Roman" w:hAnsi="Calibri" w:cs="Times New Roman"/>
                                  <w:sz w:val="22"/>
                                  <w:szCs w:val="22"/>
                                </w:rPr>
                              </w:pPr>
                              <w:r w:rsidRPr="00654DD0">
                                <w:rPr>
                                  <w:rFonts w:ascii="Tahoma" w:eastAsia="Times New Roman" w:hAnsi="Tahoma" w:cs="Times New Roman"/>
                                  <w:b/>
                                  <w:bCs/>
                                  <w:color w:val="202020"/>
                                  <w:sz w:val="36"/>
                                  <w:szCs w:val="36"/>
                                </w:rPr>
                                <w:t>Price Increase on the Horizon at Lincoln</w:t>
                              </w:r>
                            </w:p>
                          </w:tc>
                        </w:tr>
                      </w:tbl>
                      <w:p w14:paraId="3A110D20" w14:textId="77777777" w:rsidR="00654DD0" w:rsidRPr="00654DD0" w:rsidRDefault="00654DD0" w:rsidP="00654DD0">
                        <w:pPr>
                          <w:rPr>
                            <w:rFonts w:ascii="Times New Roman" w:eastAsia="Times New Roman" w:hAnsi="Times New Roman" w:cs="Times New Roman"/>
                          </w:rPr>
                        </w:pPr>
                      </w:p>
                    </w:tc>
                  </w:tr>
                </w:tbl>
                <w:p w14:paraId="6CEE3056" w14:textId="77777777" w:rsidR="00654DD0" w:rsidRPr="00654DD0" w:rsidRDefault="00654DD0" w:rsidP="00654DD0">
                  <w:pPr>
                    <w:rPr>
                      <w:rFonts w:ascii="Times New Roman" w:eastAsia="Times New Roman" w:hAnsi="Times New Roman" w:cs="Times New Roman"/>
                    </w:rPr>
                  </w:pPr>
                </w:p>
              </w:tc>
            </w:tr>
          </w:tbl>
          <w:p w14:paraId="78583470" w14:textId="77777777" w:rsidR="00654DD0" w:rsidRPr="00654DD0" w:rsidRDefault="00654DD0" w:rsidP="00654DD0">
            <w:pPr>
              <w:rPr>
                <w:rFonts w:ascii="-webkit-standard" w:eastAsia="Times New Roman" w:hAnsi="-webkit-standard" w:cs="Times New Roman"/>
              </w:rPr>
            </w:pPr>
          </w:p>
        </w:tc>
      </w:tr>
      <w:tr w:rsidR="00654DD0" w:rsidRPr="00654DD0" w14:paraId="19D4F135" w14:textId="77777777" w:rsidTr="00654DD0">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4500"/>
              <w:gridCol w:w="4500"/>
            </w:tblGrid>
            <w:tr w:rsidR="00654DD0" w:rsidRPr="00654DD0" w14:paraId="5C88BAF0" w14:textId="77777777">
              <w:trPr>
                <w:jc w:val="center"/>
              </w:trPr>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654DD0" w:rsidRPr="00654DD0" w14:paraId="6187971F" w14:textId="77777777">
                    <w:tc>
                      <w:tcPr>
                        <w:tcW w:w="0" w:type="auto"/>
                        <w:hideMark/>
                      </w:tcPr>
                      <w:tbl>
                        <w:tblPr>
                          <w:tblW w:w="5000" w:type="pct"/>
                          <w:tblCellMar>
                            <w:left w:w="0" w:type="dxa"/>
                            <w:right w:w="0" w:type="dxa"/>
                          </w:tblCellMar>
                          <w:tblLook w:val="04A0" w:firstRow="1" w:lastRow="0" w:firstColumn="1" w:lastColumn="0" w:noHBand="0" w:noVBand="1"/>
                        </w:tblPr>
                        <w:tblGrid>
                          <w:gridCol w:w="4500"/>
                        </w:tblGrid>
                        <w:tr w:rsidR="00654DD0" w:rsidRPr="00654DD0" w14:paraId="15BDC51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0"/>
                              </w:tblGrid>
                              <w:tr w:rsidR="00654DD0" w:rsidRPr="00654DD0" w14:paraId="3A01EDDD" w14:textId="77777777">
                                <w:tc>
                                  <w:tcPr>
                                    <w:tcW w:w="45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654DD0" w:rsidRPr="00654DD0" w14:paraId="3F555791" w14:textId="77777777">
                                      <w:tc>
                                        <w:tcPr>
                                          <w:tcW w:w="0" w:type="auto"/>
                                          <w:tcMar>
                                            <w:top w:w="0" w:type="dxa"/>
                                            <w:left w:w="270" w:type="dxa"/>
                                            <w:bottom w:w="135" w:type="dxa"/>
                                            <w:right w:w="270" w:type="dxa"/>
                                          </w:tcMar>
                                          <w:hideMark/>
                                        </w:tcPr>
                                        <w:p w14:paraId="48249AD9" w14:textId="77777777" w:rsidR="00654DD0" w:rsidRPr="00654DD0" w:rsidRDefault="00654DD0" w:rsidP="00654DD0">
                                          <w:pPr>
                                            <w:spacing w:line="275" w:lineRule="atLeast"/>
                                            <w:rPr>
                                              <w:rFonts w:ascii="Calibri" w:eastAsia="Times New Roman" w:hAnsi="Calibri" w:cs="Times New Roman"/>
                                              <w:sz w:val="22"/>
                                              <w:szCs w:val="22"/>
                                            </w:rPr>
                                          </w:pPr>
                                          <w:r w:rsidRPr="00654DD0">
                                            <w:rPr>
                                              <w:rFonts w:ascii="Tahoma" w:eastAsia="Times New Roman" w:hAnsi="Tahoma" w:cs="Times New Roman"/>
                                              <w:b/>
                                              <w:bCs/>
                                              <w:color w:val="202020"/>
                                              <w:sz w:val="21"/>
                                              <w:szCs w:val="21"/>
                                            </w:rPr>
                                            <w:t xml:space="preserve">The increased cost of reserving continues to impact the pricing of extended guarantees. The latest announcement comes from our colleagues at Lincoln, including their </w:t>
                                          </w:r>
                                          <w:proofErr w:type="spellStart"/>
                                          <w:r w:rsidRPr="00654DD0">
                                            <w:rPr>
                                              <w:rFonts w:ascii="Tahoma" w:eastAsia="Times New Roman" w:hAnsi="Tahoma" w:cs="Times New Roman"/>
                                              <w:b/>
                                              <w:bCs/>
                                              <w:color w:val="202020"/>
                                              <w:sz w:val="21"/>
                                              <w:szCs w:val="21"/>
                                            </w:rPr>
                                            <w:t>LifeGuarantee</w:t>
                                          </w:r>
                                          <w:proofErr w:type="spellEnd"/>
                                          <w:r w:rsidRPr="00654DD0">
                                            <w:rPr>
                                              <w:rFonts w:ascii="Tahoma" w:eastAsia="Times New Roman" w:hAnsi="Tahoma" w:cs="Times New Roman"/>
                                              <w:b/>
                                              <w:bCs/>
                                              <w:color w:val="202020"/>
                                              <w:sz w:val="21"/>
                                              <w:szCs w:val="21"/>
                                            </w:rPr>
                                            <w:t xml:space="preserve">, </w:t>
                                          </w:r>
                                          <w:proofErr w:type="spellStart"/>
                                          <w:r w:rsidRPr="00654DD0">
                                            <w:rPr>
                                              <w:rFonts w:ascii="Tahoma" w:eastAsia="Times New Roman" w:hAnsi="Tahoma" w:cs="Times New Roman"/>
                                              <w:b/>
                                              <w:bCs/>
                                              <w:color w:val="202020"/>
                                              <w:sz w:val="21"/>
                                              <w:szCs w:val="21"/>
                                            </w:rPr>
                                            <w:t>VULOne</w:t>
                                          </w:r>
                                          <w:proofErr w:type="spellEnd"/>
                                          <w:r w:rsidRPr="00654DD0">
                                            <w:rPr>
                                              <w:rFonts w:ascii="Tahoma" w:eastAsia="Times New Roman" w:hAnsi="Tahoma" w:cs="Times New Roman"/>
                                              <w:b/>
                                              <w:bCs/>
                                              <w:color w:val="202020"/>
                                              <w:sz w:val="21"/>
                                              <w:szCs w:val="21"/>
                                            </w:rPr>
                                            <w:t xml:space="preserve"> and </w:t>
                                          </w:r>
                                          <w:proofErr w:type="spellStart"/>
                                          <w:r w:rsidRPr="00654DD0">
                                            <w:rPr>
                                              <w:rFonts w:ascii="Tahoma" w:eastAsia="Times New Roman" w:hAnsi="Tahoma" w:cs="Times New Roman"/>
                                              <w:b/>
                                              <w:bCs/>
                                              <w:color w:val="202020"/>
                                              <w:sz w:val="21"/>
                                              <w:szCs w:val="21"/>
                                            </w:rPr>
                                            <w:t>SVULOne</w:t>
                                          </w:r>
                                          <w:proofErr w:type="spellEnd"/>
                                          <w:r w:rsidRPr="00654DD0">
                                            <w:rPr>
                                              <w:rFonts w:ascii="Tahoma" w:eastAsia="Times New Roman" w:hAnsi="Tahoma" w:cs="Times New Roman"/>
                                              <w:b/>
                                              <w:bCs/>
                                              <w:color w:val="202020"/>
                                              <w:sz w:val="21"/>
                                              <w:szCs w:val="21"/>
                                            </w:rPr>
                                            <w:t xml:space="preserve"> products. Read on for the details!</w:t>
                                          </w:r>
                                        </w:p>
                                      </w:tc>
                                    </w:tr>
                                  </w:tbl>
                                  <w:p w14:paraId="480D1C42" w14:textId="77777777" w:rsidR="00654DD0" w:rsidRPr="00654DD0" w:rsidRDefault="00654DD0" w:rsidP="00654DD0">
                                    <w:pPr>
                                      <w:rPr>
                                        <w:rFonts w:ascii="Times New Roman" w:eastAsia="Times New Roman" w:hAnsi="Times New Roman" w:cs="Times New Roman"/>
                                      </w:rPr>
                                    </w:pPr>
                                  </w:p>
                                </w:tc>
                              </w:tr>
                            </w:tbl>
                            <w:p w14:paraId="770F019C" w14:textId="77777777" w:rsidR="00654DD0" w:rsidRPr="00654DD0" w:rsidRDefault="00654DD0" w:rsidP="00654DD0">
                              <w:pPr>
                                <w:rPr>
                                  <w:rFonts w:ascii="Times New Roman" w:eastAsia="Times New Roman" w:hAnsi="Times New Roman" w:cs="Times New Roman"/>
                                </w:rPr>
                              </w:pPr>
                            </w:p>
                          </w:tc>
                        </w:tr>
                      </w:tbl>
                      <w:p w14:paraId="2C3DFFB5" w14:textId="77777777" w:rsidR="00654DD0" w:rsidRPr="00654DD0" w:rsidRDefault="00654DD0" w:rsidP="00654DD0">
                        <w:pPr>
                          <w:rPr>
                            <w:rFonts w:ascii="Times New Roman" w:eastAsia="Times New Roman" w:hAnsi="Times New Roman" w:cs="Times New Roman"/>
                          </w:rPr>
                        </w:pPr>
                      </w:p>
                    </w:tc>
                  </w:tr>
                </w:tbl>
                <w:p w14:paraId="29BD6E55" w14:textId="77777777" w:rsidR="00654DD0" w:rsidRPr="00654DD0" w:rsidRDefault="00654DD0" w:rsidP="00654DD0">
                  <w:pPr>
                    <w:rPr>
                      <w:rFonts w:ascii="Times New Roman" w:eastAsia="Times New Roman" w:hAnsi="Times New Roman" w:cs="Times New Roman"/>
                    </w:rPr>
                  </w:pPr>
                </w:p>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654DD0" w:rsidRPr="00654DD0" w14:paraId="1B954D78" w14:textId="77777777">
                    <w:tc>
                      <w:tcPr>
                        <w:tcW w:w="0" w:type="auto"/>
                        <w:hideMark/>
                      </w:tcPr>
                      <w:tbl>
                        <w:tblPr>
                          <w:tblW w:w="5000" w:type="pct"/>
                          <w:tblCellMar>
                            <w:left w:w="0" w:type="dxa"/>
                            <w:right w:w="0" w:type="dxa"/>
                          </w:tblCellMar>
                          <w:tblLook w:val="04A0" w:firstRow="1" w:lastRow="0" w:firstColumn="1" w:lastColumn="0" w:noHBand="0" w:noVBand="1"/>
                        </w:tblPr>
                        <w:tblGrid>
                          <w:gridCol w:w="4500"/>
                        </w:tblGrid>
                        <w:tr w:rsidR="00654DD0" w:rsidRPr="00654DD0" w14:paraId="2A6C6AE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0"/>
                              </w:tblGrid>
                              <w:tr w:rsidR="00654DD0" w:rsidRPr="00654DD0" w14:paraId="4C777245" w14:textId="77777777">
                                <w:tc>
                                  <w:tcPr>
                                    <w:tcW w:w="45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654DD0" w:rsidRPr="00654DD0" w14:paraId="210E79B5" w14:textId="77777777">
                                      <w:tc>
                                        <w:tcPr>
                                          <w:tcW w:w="0" w:type="auto"/>
                                          <w:tcMar>
                                            <w:top w:w="0" w:type="dxa"/>
                                            <w:left w:w="270" w:type="dxa"/>
                                            <w:bottom w:w="135" w:type="dxa"/>
                                            <w:right w:w="270" w:type="dxa"/>
                                          </w:tcMar>
                                          <w:hideMark/>
                                        </w:tcPr>
                                        <w:p w14:paraId="633E8633" w14:textId="77777777" w:rsidR="00654DD0" w:rsidRPr="00654DD0" w:rsidRDefault="00654DD0" w:rsidP="00654DD0">
                                          <w:pPr>
                                            <w:spacing w:line="275" w:lineRule="atLeast"/>
                                            <w:rPr>
                                              <w:rFonts w:ascii="Calibri" w:eastAsia="Times New Roman" w:hAnsi="Calibri" w:cs="Times New Roman"/>
                                              <w:sz w:val="22"/>
                                              <w:szCs w:val="22"/>
                                            </w:rPr>
                                          </w:pPr>
                                          <w:r w:rsidRPr="00654DD0">
                                            <w:rPr>
                                              <w:rFonts w:ascii="Tahoma" w:eastAsia="Times New Roman" w:hAnsi="Tahoma" w:cs="Times New Roman"/>
                                              <w:b/>
                                              <w:bCs/>
                                              <w:color w:val="202020"/>
                                              <w:sz w:val="21"/>
                                              <w:szCs w:val="21"/>
                                            </w:rPr>
                                            <w:t>Find out more about these changes from Lincoln...</w:t>
                                          </w:r>
                                        </w:p>
                                        <w:p w14:paraId="0B2EE4DC" w14:textId="77777777" w:rsidR="00654DD0" w:rsidRPr="00654DD0" w:rsidRDefault="00654DD0" w:rsidP="00654DD0">
                                          <w:pPr>
                                            <w:numPr>
                                              <w:ilvl w:val="0"/>
                                              <w:numId w:val="1"/>
                                            </w:numPr>
                                            <w:spacing w:line="275" w:lineRule="atLeast"/>
                                            <w:rPr>
                                              <w:rFonts w:ascii="Calibri" w:eastAsia="Times New Roman" w:hAnsi="Calibri" w:cs="Times New Roman"/>
                                              <w:color w:val="202020"/>
                                              <w:sz w:val="22"/>
                                              <w:szCs w:val="22"/>
                                            </w:rPr>
                                          </w:pPr>
                                          <w:hyperlink r:id="rId5" w:tgtFrame="_blank" w:history="1">
                                            <w:r w:rsidRPr="00654DD0">
                                              <w:rPr>
                                                <w:rFonts w:ascii="Tahoma" w:eastAsia="Times New Roman" w:hAnsi="Tahoma" w:cs="Times New Roman"/>
                                                <w:color w:val="007C89"/>
                                                <w:sz w:val="21"/>
                                                <w:szCs w:val="21"/>
                                                <w:u w:val="single"/>
                                              </w:rPr>
                                              <w:t xml:space="preserve">VUL </w:t>
                                            </w:r>
                                            <w:r w:rsidRPr="00654DD0">
                                              <w:rPr>
                                                <w:rFonts w:ascii="Tahoma" w:eastAsia="Times New Roman" w:hAnsi="Tahoma" w:cs="Times New Roman"/>
                                                <w:color w:val="007C89"/>
                                                <w:sz w:val="21"/>
                                                <w:szCs w:val="21"/>
                                                <w:u w:val="single"/>
                                              </w:rPr>
                                              <w:t>T</w:t>
                                            </w:r>
                                            <w:r w:rsidRPr="00654DD0">
                                              <w:rPr>
                                                <w:rFonts w:ascii="Tahoma" w:eastAsia="Times New Roman" w:hAnsi="Tahoma" w:cs="Times New Roman"/>
                                                <w:color w:val="007C89"/>
                                                <w:sz w:val="21"/>
                                                <w:szCs w:val="21"/>
                                                <w:u w:val="single"/>
                                              </w:rPr>
                                              <w:t>ransitio</w:t>
                                            </w:r>
                                            <w:r w:rsidRPr="00654DD0">
                                              <w:rPr>
                                                <w:rFonts w:ascii="Tahoma" w:eastAsia="Times New Roman" w:hAnsi="Tahoma" w:cs="Times New Roman"/>
                                                <w:color w:val="007C89"/>
                                                <w:sz w:val="21"/>
                                                <w:szCs w:val="21"/>
                                                <w:u w:val="single"/>
                                              </w:rPr>
                                              <w:t>n</w:t>
                                            </w:r>
                                            <w:r w:rsidRPr="00654DD0">
                                              <w:rPr>
                                                <w:rFonts w:ascii="Tahoma" w:eastAsia="Times New Roman" w:hAnsi="Tahoma" w:cs="Times New Roman"/>
                                                <w:color w:val="007C89"/>
                                                <w:sz w:val="21"/>
                                                <w:szCs w:val="21"/>
                                                <w:u w:val="single"/>
                                              </w:rPr>
                                              <w:t xml:space="preserve"> Rules FAQ</w:t>
                                            </w:r>
                                          </w:hyperlink>
                                        </w:p>
                                      </w:tc>
                                    </w:tr>
                                  </w:tbl>
                                  <w:p w14:paraId="435FC78E" w14:textId="77777777" w:rsidR="00654DD0" w:rsidRPr="00654DD0" w:rsidRDefault="00654DD0" w:rsidP="00654DD0">
                                    <w:pPr>
                                      <w:rPr>
                                        <w:rFonts w:ascii="Times New Roman" w:eastAsia="Times New Roman" w:hAnsi="Times New Roman" w:cs="Times New Roman"/>
                                      </w:rPr>
                                    </w:pPr>
                                  </w:p>
                                </w:tc>
                              </w:tr>
                            </w:tbl>
                            <w:p w14:paraId="1D67992F" w14:textId="77777777" w:rsidR="00654DD0" w:rsidRPr="00654DD0" w:rsidRDefault="00654DD0" w:rsidP="00654DD0">
                              <w:pPr>
                                <w:rPr>
                                  <w:rFonts w:ascii="Times New Roman" w:eastAsia="Times New Roman" w:hAnsi="Times New Roman" w:cs="Times New Roman"/>
                                </w:rPr>
                              </w:pPr>
                            </w:p>
                          </w:tc>
                        </w:tr>
                      </w:tbl>
                      <w:p w14:paraId="1C4EF18C" w14:textId="77777777" w:rsidR="00654DD0" w:rsidRPr="00654DD0" w:rsidRDefault="00654DD0" w:rsidP="00654DD0">
                        <w:pPr>
                          <w:rPr>
                            <w:rFonts w:ascii="Times New Roman" w:eastAsia="Times New Roman" w:hAnsi="Times New Roman" w:cs="Times New Roman"/>
                          </w:rPr>
                        </w:pPr>
                      </w:p>
                    </w:tc>
                  </w:tr>
                </w:tbl>
                <w:p w14:paraId="49C9C49E" w14:textId="77777777" w:rsidR="00654DD0" w:rsidRPr="00654DD0" w:rsidRDefault="00654DD0" w:rsidP="00654DD0">
                  <w:pPr>
                    <w:rPr>
                      <w:rFonts w:ascii="Times New Roman" w:eastAsia="Times New Roman" w:hAnsi="Times New Roman" w:cs="Times New Roman"/>
                    </w:rPr>
                  </w:pPr>
                </w:p>
              </w:tc>
            </w:tr>
          </w:tbl>
          <w:p w14:paraId="0478655A" w14:textId="77777777" w:rsidR="00654DD0" w:rsidRPr="00654DD0" w:rsidRDefault="00654DD0" w:rsidP="00654DD0">
            <w:pPr>
              <w:rPr>
                <w:rFonts w:ascii="-webkit-standard" w:eastAsia="Times New Roman" w:hAnsi="-webkit-standard" w:cs="Times New Roman"/>
              </w:rPr>
            </w:pPr>
          </w:p>
        </w:tc>
      </w:tr>
      <w:tr w:rsidR="00654DD0" w:rsidRPr="00654DD0" w14:paraId="4EA26D50" w14:textId="77777777" w:rsidTr="00654DD0">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54DD0" w:rsidRPr="00654DD0" w14:paraId="43ACE096"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54DD0" w:rsidRPr="00654DD0" w14:paraId="52E75906" w14:textId="77777777">
                    <w:tc>
                      <w:tcPr>
                        <w:tcW w:w="0" w:type="auto"/>
                        <w:tcBorders>
                          <w:top w:val="single" w:sz="12" w:space="0" w:color="222222"/>
                          <w:left w:val="nil"/>
                          <w:bottom w:val="nil"/>
                          <w:right w:val="nil"/>
                        </w:tcBorders>
                        <w:vAlign w:val="center"/>
                        <w:hideMark/>
                      </w:tcPr>
                      <w:p w14:paraId="19364AFC" w14:textId="77777777" w:rsidR="00654DD0" w:rsidRPr="00654DD0" w:rsidRDefault="00654DD0" w:rsidP="00654DD0">
                        <w:pPr>
                          <w:rPr>
                            <w:rFonts w:ascii="Times New Roman" w:eastAsia="Times New Roman" w:hAnsi="Times New Roman" w:cs="Times New Roman"/>
                            <w:sz w:val="20"/>
                            <w:szCs w:val="20"/>
                          </w:rPr>
                        </w:pPr>
                      </w:p>
                    </w:tc>
                  </w:tr>
                </w:tbl>
                <w:p w14:paraId="104F0CDB" w14:textId="77777777" w:rsidR="00654DD0" w:rsidRPr="00654DD0" w:rsidRDefault="00654DD0" w:rsidP="00654DD0">
                  <w:pPr>
                    <w:rPr>
                      <w:rFonts w:ascii="Times New Roman" w:eastAsia="Times New Roman" w:hAnsi="Times New Roman" w:cs="Times New Roman"/>
                    </w:rPr>
                  </w:pPr>
                </w:p>
              </w:tc>
            </w:tr>
          </w:tbl>
          <w:p w14:paraId="5A30A8B7" w14:textId="77777777" w:rsidR="00654DD0" w:rsidRPr="00654DD0" w:rsidRDefault="00654DD0" w:rsidP="00654DD0">
            <w:pPr>
              <w:rPr>
                <w:rFonts w:ascii="Calibri" w:eastAsia="Times New Roman" w:hAnsi="Calibri" w:cs="Times New Roman"/>
                <w:sz w:val="22"/>
                <w:szCs w:val="22"/>
              </w:rPr>
            </w:pPr>
            <w:r w:rsidRPr="00654DD0">
              <w:rPr>
                <w:rFonts w:ascii="Calibri" w:eastAsia="Times New Roman" w:hAnsi="Calibri" w:cs="Times New Roman"/>
                <w:sz w:val="22"/>
                <w:szCs w:val="22"/>
              </w:rPr>
              <w:t> </w:t>
            </w:r>
          </w:p>
          <w:tbl>
            <w:tblPr>
              <w:tblW w:w="5000" w:type="pct"/>
              <w:tblCellMar>
                <w:left w:w="0" w:type="dxa"/>
                <w:right w:w="0" w:type="dxa"/>
              </w:tblCellMar>
              <w:tblLook w:val="04A0" w:firstRow="1" w:lastRow="0" w:firstColumn="1" w:lastColumn="0" w:noHBand="0" w:noVBand="1"/>
            </w:tblPr>
            <w:tblGrid>
              <w:gridCol w:w="9000"/>
            </w:tblGrid>
            <w:tr w:rsidR="00654DD0" w:rsidRPr="00654DD0" w14:paraId="2A86DD7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54DD0" w:rsidRPr="00654DD0" w14:paraId="5ADDF1C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54DD0" w:rsidRPr="00654DD0" w14:paraId="40CAC56E" w14:textId="77777777">
                          <w:tc>
                            <w:tcPr>
                              <w:tcW w:w="0" w:type="auto"/>
                              <w:tcMar>
                                <w:top w:w="0" w:type="dxa"/>
                                <w:left w:w="270" w:type="dxa"/>
                                <w:bottom w:w="135" w:type="dxa"/>
                                <w:right w:w="270" w:type="dxa"/>
                              </w:tcMar>
                              <w:hideMark/>
                            </w:tcPr>
                            <w:p w14:paraId="17C56699" w14:textId="77777777" w:rsidR="00654DD0" w:rsidRPr="00654DD0" w:rsidRDefault="00654DD0" w:rsidP="00654DD0">
                              <w:pPr>
                                <w:spacing w:line="275" w:lineRule="atLeast"/>
                                <w:rPr>
                                  <w:rFonts w:ascii="Calibri" w:eastAsia="Times New Roman" w:hAnsi="Calibri" w:cs="Times New Roman"/>
                                  <w:sz w:val="22"/>
                                  <w:szCs w:val="22"/>
                                </w:rPr>
                              </w:pPr>
                              <w:r w:rsidRPr="00654DD0">
                                <w:rPr>
                                  <w:rFonts w:ascii="Tahoma" w:eastAsia="Times New Roman" w:hAnsi="Tahoma" w:cs="Times New Roman"/>
                                  <w:b/>
                                  <w:bCs/>
                                  <w:i/>
                                  <w:iCs/>
                                  <w:color w:val="202020"/>
                                  <w:sz w:val="27"/>
                                  <w:szCs w:val="27"/>
                                </w:rPr>
                                <w:t>From Lincoln...</w:t>
                              </w:r>
                              <w:r w:rsidRPr="00654DD0">
                                <w:rPr>
                                  <w:rFonts w:ascii="Helvetica" w:eastAsia="Times New Roman" w:hAnsi="Helvetica" w:cs="Times New Roman"/>
                                  <w:color w:val="202020"/>
                                </w:rPr>
                                <w:br/>
                                <w:t>  </w:t>
                              </w:r>
                            </w:p>
                            <w:p w14:paraId="0AFDC790" w14:textId="77777777" w:rsidR="00654DD0" w:rsidRPr="00654DD0" w:rsidRDefault="00654DD0" w:rsidP="00654DD0">
                              <w:pPr>
                                <w:spacing w:after="150" w:line="275" w:lineRule="atLeast"/>
                                <w:rPr>
                                  <w:rFonts w:ascii="Calibri" w:eastAsia="Times New Roman" w:hAnsi="Calibri" w:cs="Times New Roman"/>
                                  <w:sz w:val="22"/>
                                  <w:szCs w:val="22"/>
                                </w:rPr>
                              </w:pPr>
                              <w:r w:rsidRPr="00654DD0">
                                <w:rPr>
                                  <w:rFonts w:ascii="Tahoma" w:eastAsia="Times New Roman" w:hAnsi="Tahoma" w:cs="Times New Roman"/>
                                  <w:b/>
                                  <w:bCs/>
                                  <w:color w:val="202020"/>
                                </w:rPr>
                                <w:t>Pricing Update – </w:t>
                              </w:r>
                              <w:r w:rsidRPr="00654DD0">
                                <w:rPr>
                                  <w:rFonts w:ascii="Tahoma" w:eastAsia="Times New Roman" w:hAnsi="Tahoma" w:cs="Times New Roman"/>
                                  <w:b/>
                                  <w:bCs/>
                                  <w:i/>
                                  <w:iCs/>
                                  <w:color w:val="202020"/>
                                </w:rPr>
                                <w:t xml:space="preserve">Lincoln </w:t>
                              </w:r>
                              <w:proofErr w:type="spellStart"/>
                              <w:r w:rsidRPr="00654DD0">
                                <w:rPr>
                                  <w:rFonts w:ascii="Tahoma" w:eastAsia="Times New Roman" w:hAnsi="Tahoma" w:cs="Times New Roman"/>
                                  <w:b/>
                                  <w:bCs/>
                                  <w:i/>
                                  <w:iCs/>
                                  <w:color w:val="202020"/>
                                </w:rPr>
                                <w:t>LifeGuarantee</w:t>
                              </w:r>
                              <w:proofErr w:type="spellEnd"/>
                              <w:r w:rsidRPr="00654DD0">
                                <w:rPr>
                                  <w:rFonts w:ascii="Tahoma" w:eastAsia="Times New Roman" w:hAnsi="Tahoma" w:cs="Times New Roman"/>
                                  <w:b/>
                                  <w:bCs/>
                                  <w:i/>
                                  <w:iCs/>
                                  <w:color w:val="202020"/>
                                </w:rPr>
                                <w:t>® </w:t>
                              </w:r>
                              <w:r w:rsidRPr="00654DD0">
                                <w:rPr>
                                  <w:rFonts w:ascii="Tahoma" w:eastAsia="Times New Roman" w:hAnsi="Tahoma" w:cs="Times New Roman"/>
                                  <w:b/>
                                  <w:bCs/>
                                  <w:color w:val="202020"/>
                                </w:rPr>
                                <w:t>UL (2019) – 05/11/20</w:t>
                              </w:r>
                              <w:r w:rsidRPr="00654DD0">
                                <w:rPr>
                                  <w:rFonts w:ascii="Helvetica" w:eastAsia="Times New Roman" w:hAnsi="Helvetica" w:cs="Times New Roman"/>
                                  <w:color w:val="202020"/>
                                </w:rPr>
                                <w:br/>
                              </w:r>
                              <w:r w:rsidRPr="00654DD0">
                                <w:rPr>
                                  <w:rFonts w:ascii="Helvetica" w:eastAsia="Times New Roman" w:hAnsi="Helvetica" w:cs="Times New Roman"/>
                                  <w:color w:val="202020"/>
                                </w:rPr>
                                <w:br/>
                              </w:r>
                              <w:r w:rsidRPr="00654DD0">
                                <w:rPr>
                                  <w:rFonts w:ascii="Tahoma" w:eastAsia="Times New Roman" w:hAnsi="Tahoma" w:cs="Times New Roman"/>
                                  <w:color w:val="202020"/>
                                  <w:sz w:val="21"/>
                                  <w:szCs w:val="21"/>
                                </w:rPr>
                                <w:t>Effective May 11, 2020, Lincoln is announcing pricing updates on </w:t>
                              </w:r>
                              <w:r w:rsidRPr="00654DD0">
                                <w:rPr>
                                  <w:rFonts w:ascii="Tahoma" w:eastAsia="Times New Roman" w:hAnsi="Tahoma" w:cs="Times New Roman"/>
                                  <w:i/>
                                  <w:iCs/>
                                  <w:color w:val="202020"/>
                                  <w:sz w:val="21"/>
                                  <w:szCs w:val="21"/>
                                </w:rPr>
                                <w:t xml:space="preserve">Lincoln </w:t>
                              </w:r>
                              <w:proofErr w:type="spellStart"/>
                              <w:r w:rsidRPr="00654DD0">
                                <w:rPr>
                                  <w:rFonts w:ascii="Tahoma" w:eastAsia="Times New Roman" w:hAnsi="Tahoma" w:cs="Times New Roman"/>
                                  <w:i/>
                                  <w:iCs/>
                                  <w:color w:val="202020"/>
                                  <w:sz w:val="21"/>
                                  <w:szCs w:val="21"/>
                                </w:rPr>
                                <w:t>LifeGuarantee</w:t>
                              </w:r>
                              <w:proofErr w:type="spellEnd"/>
                              <w:r w:rsidRPr="00654DD0">
                                <w:rPr>
                                  <w:rFonts w:ascii="Tahoma" w:eastAsia="Times New Roman" w:hAnsi="Tahoma" w:cs="Times New Roman"/>
                                  <w:color w:val="202020"/>
                                  <w:sz w:val="21"/>
                                  <w:szCs w:val="21"/>
                                </w:rPr>
                                <w:t>® UL (2019). </w:t>
                              </w:r>
                            </w:p>
                            <w:p w14:paraId="44DD99D5" w14:textId="77777777" w:rsidR="00654DD0" w:rsidRPr="00654DD0" w:rsidRDefault="00654DD0" w:rsidP="00654DD0">
                              <w:pPr>
                                <w:spacing w:after="150" w:line="275" w:lineRule="atLeast"/>
                                <w:rPr>
                                  <w:rFonts w:ascii="Calibri" w:eastAsia="Times New Roman" w:hAnsi="Calibri" w:cs="Times New Roman"/>
                                  <w:sz w:val="22"/>
                                  <w:szCs w:val="22"/>
                                </w:rPr>
                              </w:pPr>
                              <w:r w:rsidRPr="00654DD0">
                                <w:rPr>
                                  <w:rFonts w:ascii="Tahoma" w:eastAsia="Times New Roman" w:hAnsi="Tahoma" w:cs="Times New Roman"/>
                                  <w:i/>
                                  <w:iCs/>
                                  <w:color w:val="202020"/>
                                  <w:sz w:val="21"/>
                                  <w:szCs w:val="21"/>
                                </w:rPr>
                                <w:t xml:space="preserve">Lincoln </w:t>
                              </w:r>
                              <w:proofErr w:type="spellStart"/>
                              <w:r w:rsidRPr="00654DD0">
                                <w:rPr>
                                  <w:rFonts w:ascii="Tahoma" w:eastAsia="Times New Roman" w:hAnsi="Tahoma" w:cs="Times New Roman"/>
                                  <w:i/>
                                  <w:iCs/>
                                  <w:color w:val="202020"/>
                                  <w:sz w:val="21"/>
                                  <w:szCs w:val="21"/>
                                </w:rPr>
                                <w:t>LifeGuarantee</w:t>
                              </w:r>
                              <w:proofErr w:type="spellEnd"/>
                              <w:r w:rsidRPr="00654DD0">
                                <w:rPr>
                                  <w:rFonts w:ascii="Tahoma" w:eastAsia="Times New Roman" w:hAnsi="Tahoma" w:cs="Times New Roman"/>
                                  <w:color w:val="202020"/>
                                  <w:sz w:val="21"/>
                                  <w:szCs w:val="21"/>
                                </w:rPr>
                                <w:t>® UL (2019) – 05/11/20 will replace </w:t>
                              </w:r>
                              <w:r w:rsidRPr="00654DD0">
                                <w:rPr>
                                  <w:rFonts w:ascii="Tahoma" w:eastAsia="Times New Roman" w:hAnsi="Tahoma" w:cs="Times New Roman"/>
                                  <w:i/>
                                  <w:iCs/>
                                  <w:color w:val="202020"/>
                                  <w:sz w:val="21"/>
                                  <w:szCs w:val="21"/>
                                </w:rPr>
                                <w:t xml:space="preserve">Lincoln </w:t>
                              </w:r>
                              <w:proofErr w:type="spellStart"/>
                              <w:r w:rsidRPr="00654DD0">
                                <w:rPr>
                                  <w:rFonts w:ascii="Tahoma" w:eastAsia="Times New Roman" w:hAnsi="Tahoma" w:cs="Times New Roman"/>
                                  <w:i/>
                                  <w:iCs/>
                                  <w:color w:val="202020"/>
                                  <w:sz w:val="21"/>
                                  <w:szCs w:val="21"/>
                                </w:rPr>
                                <w:t>LifeGuarantee</w:t>
                              </w:r>
                              <w:proofErr w:type="spellEnd"/>
                              <w:r w:rsidRPr="00654DD0">
                                <w:rPr>
                                  <w:rFonts w:ascii="Tahoma" w:eastAsia="Times New Roman" w:hAnsi="Tahoma" w:cs="Times New Roman"/>
                                  <w:color w:val="202020"/>
                                  <w:sz w:val="21"/>
                                  <w:szCs w:val="21"/>
                                </w:rPr>
                                <w:t>® UL (2019) – 11/11/19 for all states that are approved at rollout.</w:t>
                              </w:r>
                              <w:r w:rsidRPr="00654DD0">
                                <w:rPr>
                                  <w:rFonts w:ascii="Tahoma" w:eastAsia="Times New Roman" w:hAnsi="Tahoma" w:cs="Times New Roman"/>
                                  <w:color w:val="202020"/>
                                  <w:sz w:val="21"/>
                                  <w:szCs w:val="21"/>
                                </w:rPr>
                                <w:br/>
                              </w:r>
                              <w:r w:rsidRPr="00654DD0">
                                <w:rPr>
                                  <w:rFonts w:ascii="Tahoma" w:eastAsia="Times New Roman" w:hAnsi="Tahoma" w:cs="Times New Roman"/>
                                  <w:color w:val="202020"/>
                                  <w:sz w:val="21"/>
                                  <w:szCs w:val="21"/>
                                </w:rPr>
                                <w:br/>
                              </w:r>
                              <w:r w:rsidRPr="00654DD0">
                                <w:rPr>
                                  <w:rFonts w:ascii="Tahoma" w:eastAsia="Times New Roman" w:hAnsi="Tahoma" w:cs="Times New Roman"/>
                                  <w:b/>
                                  <w:bCs/>
                                  <w:color w:val="202020"/>
                                  <w:sz w:val="21"/>
                                  <w:szCs w:val="21"/>
                                </w:rPr>
                                <w:t>Pricing Changes</w:t>
                              </w:r>
                            </w:p>
                            <w:p w14:paraId="046354E7" w14:textId="77777777" w:rsidR="00654DD0" w:rsidRPr="00654DD0" w:rsidRDefault="00654DD0" w:rsidP="00654DD0">
                              <w:pPr>
                                <w:numPr>
                                  <w:ilvl w:val="0"/>
                                  <w:numId w:val="2"/>
                                </w:numPr>
                                <w:spacing w:line="275" w:lineRule="atLeast"/>
                                <w:rPr>
                                  <w:rFonts w:ascii="Calibri" w:eastAsia="Times New Roman" w:hAnsi="Calibri" w:cs="Times New Roman"/>
                                  <w:color w:val="202020"/>
                                  <w:sz w:val="22"/>
                                  <w:szCs w:val="22"/>
                                </w:rPr>
                              </w:pPr>
                              <w:r w:rsidRPr="00654DD0">
                                <w:rPr>
                                  <w:rFonts w:ascii="Tahoma" w:eastAsia="Times New Roman" w:hAnsi="Tahoma" w:cs="Times New Roman"/>
                                  <w:color w:val="202020"/>
                                  <w:sz w:val="21"/>
                                  <w:szCs w:val="21"/>
                                </w:rPr>
                                <w:t>Premiums have increased 20% on average</w:t>
                              </w:r>
                            </w:p>
                            <w:p w14:paraId="71BCD132" w14:textId="77777777" w:rsidR="00654DD0" w:rsidRPr="00654DD0" w:rsidRDefault="00654DD0" w:rsidP="00654DD0">
                              <w:pPr>
                                <w:numPr>
                                  <w:ilvl w:val="0"/>
                                  <w:numId w:val="2"/>
                                </w:numPr>
                                <w:spacing w:line="275" w:lineRule="atLeast"/>
                                <w:rPr>
                                  <w:rFonts w:ascii="Calibri" w:eastAsia="Times New Roman" w:hAnsi="Calibri" w:cs="Times New Roman"/>
                                  <w:color w:val="202020"/>
                                  <w:sz w:val="22"/>
                                  <w:szCs w:val="22"/>
                                </w:rPr>
                              </w:pPr>
                              <w:r w:rsidRPr="00654DD0">
                                <w:rPr>
                                  <w:rFonts w:ascii="Tahoma" w:eastAsia="Times New Roman" w:hAnsi="Tahoma" w:cs="Times New Roman"/>
                                  <w:color w:val="202020"/>
                                  <w:sz w:val="21"/>
                                  <w:szCs w:val="21"/>
                                </w:rPr>
                                <w:t>Target premiums have increased to be aligned with updated lifetime level premiums</w:t>
                              </w:r>
                            </w:p>
                            <w:p w14:paraId="73B25C9A" w14:textId="77777777" w:rsidR="00654DD0" w:rsidRPr="00654DD0" w:rsidRDefault="00654DD0" w:rsidP="00654DD0">
                              <w:pPr>
                                <w:spacing w:after="150" w:line="275" w:lineRule="atLeast"/>
                                <w:rPr>
                                  <w:rFonts w:ascii="Calibri" w:eastAsia="Times New Roman" w:hAnsi="Calibri" w:cs="Times New Roman"/>
                                  <w:sz w:val="22"/>
                                  <w:szCs w:val="22"/>
                                </w:rPr>
                              </w:pPr>
                              <w:r w:rsidRPr="00654DD0">
                                <w:rPr>
                                  <w:rFonts w:ascii="Tahoma" w:eastAsia="Times New Roman" w:hAnsi="Tahoma" w:cs="Times New Roman"/>
                                  <w:b/>
                                  <w:bCs/>
                                  <w:color w:val="202020"/>
                                  <w:sz w:val="21"/>
                                  <w:szCs w:val="21"/>
                                </w:rPr>
                                <w:t>Transition Guidelines</w:t>
                              </w:r>
                            </w:p>
                            <w:p w14:paraId="1C978073" w14:textId="77777777" w:rsidR="00654DD0" w:rsidRPr="00654DD0" w:rsidRDefault="00654DD0" w:rsidP="00654DD0">
                              <w:pPr>
                                <w:numPr>
                                  <w:ilvl w:val="0"/>
                                  <w:numId w:val="3"/>
                                </w:numPr>
                                <w:spacing w:line="275" w:lineRule="atLeast"/>
                                <w:rPr>
                                  <w:rFonts w:ascii="Calibri" w:eastAsia="Times New Roman" w:hAnsi="Calibri" w:cs="Times New Roman"/>
                                  <w:color w:val="202020"/>
                                  <w:sz w:val="22"/>
                                  <w:szCs w:val="22"/>
                                </w:rPr>
                              </w:pPr>
                              <w:r w:rsidRPr="00654DD0">
                                <w:rPr>
                                  <w:rFonts w:ascii="Tahoma" w:eastAsia="Times New Roman" w:hAnsi="Tahoma" w:cs="Times New Roman"/>
                                  <w:color w:val="202020"/>
                                  <w:sz w:val="21"/>
                                  <w:szCs w:val="21"/>
                                </w:rPr>
                                <w:t>All states are automatically approved at rollout with the exception of New York (where the product is not currently available), and the transition period begins on May 11, 2020 and ends on May 22, 2020.</w:t>
                              </w:r>
                            </w:p>
                            <w:p w14:paraId="7B278308" w14:textId="77777777" w:rsidR="00654DD0" w:rsidRPr="00654DD0" w:rsidRDefault="00654DD0" w:rsidP="00654DD0">
                              <w:pPr>
                                <w:numPr>
                                  <w:ilvl w:val="0"/>
                                  <w:numId w:val="3"/>
                                </w:numPr>
                                <w:spacing w:line="275" w:lineRule="atLeast"/>
                                <w:rPr>
                                  <w:rFonts w:ascii="Calibri" w:eastAsia="Times New Roman" w:hAnsi="Calibri" w:cs="Times New Roman"/>
                                  <w:color w:val="202020"/>
                                  <w:sz w:val="22"/>
                                  <w:szCs w:val="22"/>
                                </w:rPr>
                              </w:pPr>
                              <w:r w:rsidRPr="00654DD0">
                                <w:rPr>
                                  <w:rFonts w:ascii="Tahoma" w:eastAsia="Times New Roman" w:hAnsi="Tahoma" w:cs="Times New Roman"/>
                                  <w:color w:val="202020"/>
                                  <w:sz w:val="21"/>
                                  <w:szCs w:val="21"/>
                                </w:rPr>
                                <w:t>For the old product, formal applications must be signed, dated and received in-good-order in Lincoln’s home office by the end of the transition period to qualify.</w:t>
                              </w:r>
                            </w:p>
                            <w:p w14:paraId="35DAC025" w14:textId="77777777" w:rsidR="00654DD0" w:rsidRPr="00654DD0" w:rsidRDefault="00654DD0" w:rsidP="00654DD0">
                              <w:pPr>
                                <w:numPr>
                                  <w:ilvl w:val="0"/>
                                  <w:numId w:val="3"/>
                                </w:numPr>
                                <w:spacing w:line="275" w:lineRule="atLeast"/>
                                <w:rPr>
                                  <w:rFonts w:ascii="Calibri" w:eastAsia="Times New Roman" w:hAnsi="Calibri" w:cs="Times New Roman"/>
                                  <w:color w:val="202020"/>
                                  <w:sz w:val="22"/>
                                  <w:szCs w:val="22"/>
                                </w:rPr>
                              </w:pPr>
                              <w:r w:rsidRPr="00654DD0">
                                <w:rPr>
                                  <w:rFonts w:ascii="Tahoma" w:eastAsia="Times New Roman" w:hAnsi="Tahoma" w:cs="Times New Roman"/>
                                  <w:color w:val="202020"/>
                                  <w:sz w:val="21"/>
                                  <w:szCs w:val="21"/>
                                </w:rPr>
                                <w:t xml:space="preserve">For </w:t>
                              </w:r>
                              <w:proofErr w:type="spellStart"/>
                              <w:r w:rsidRPr="00654DD0">
                                <w:rPr>
                                  <w:rFonts w:ascii="Tahoma" w:eastAsia="Times New Roman" w:hAnsi="Tahoma" w:cs="Times New Roman"/>
                                  <w:color w:val="202020"/>
                                  <w:sz w:val="21"/>
                                  <w:szCs w:val="21"/>
                                </w:rPr>
                                <w:t>LincXpress</w:t>
                              </w:r>
                              <w:proofErr w:type="spellEnd"/>
                              <w:r w:rsidRPr="00654DD0">
                                <w:rPr>
                                  <w:rFonts w:ascii="Tahoma" w:eastAsia="Times New Roman" w:hAnsi="Tahoma" w:cs="Times New Roman"/>
                                  <w:color w:val="202020"/>
                                  <w:sz w:val="21"/>
                                  <w:szCs w:val="21"/>
                                </w:rPr>
                                <w:t>® Tele-App Cases, a complete ticket and required solicitation forms must be received in Lincoln’s home office by the end of the transition period to qualify.</w:t>
                              </w:r>
                            </w:p>
                            <w:p w14:paraId="240A1732" w14:textId="77777777" w:rsidR="00654DD0" w:rsidRPr="00654DD0" w:rsidRDefault="00654DD0" w:rsidP="00654DD0">
                              <w:pPr>
                                <w:numPr>
                                  <w:ilvl w:val="0"/>
                                  <w:numId w:val="3"/>
                                </w:numPr>
                                <w:spacing w:line="275" w:lineRule="atLeast"/>
                                <w:rPr>
                                  <w:rFonts w:ascii="Calibri" w:eastAsia="Times New Roman" w:hAnsi="Calibri" w:cs="Times New Roman"/>
                                  <w:color w:val="202020"/>
                                  <w:sz w:val="22"/>
                                  <w:szCs w:val="22"/>
                                </w:rPr>
                              </w:pPr>
                              <w:r w:rsidRPr="00654DD0">
                                <w:rPr>
                                  <w:rFonts w:ascii="Tahoma" w:eastAsia="Times New Roman" w:hAnsi="Tahoma" w:cs="Times New Roman"/>
                                  <w:color w:val="202020"/>
                                  <w:sz w:val="21"/>
                                  <w:szCs w:val="21"/>
                                </w:rPr>
                                <w:t xml:space="preserve">For pending business or policies already issued, Lincoln will accept a written request and a revised illustration to change to the Lincoln </w:t>
                              </w:r>
                              <w:proofErr w:type="spellStart"/>
                              <w:r w:rsidRPr="00654DD0">
                                <w:rPr>
                                  <w:rFonts w:ascii="Tahoma" w:eastAsia="Times New Roman" w:hAnsi="Tahoma" w:cs="Times New Roman"/>
                                  <w:color w:val="202020"/>
                                  <w:sz w:val="21"/>
                                  <w:szCs w:val="21"/>
                                </w:rPr>
                                <w:t>LifeGuarantee</w:t>
                              </w:r>
                              <w:proofErr w:type="spellEnd"/>
                              <w:r w:rsidRPr="00654DD0">
                                <w:rPr>
                                  <w:rFonts w:ascii="Tahoma" w:eastAsia="Times New Roman" w:hAnsi="Tahoma" w:cs="Times New Roman"/>
                                  <w:color w:val="202020"/>
                                  <w:sz w:val="21"/>
                                  <w:szCs w:val="21"/>
                                </w:rPr>
                                <w:t>® UL (2019) - 05/11/20</w:t>
                              </w:r>
                            </w:p>
                            <w:p w14:paraId="3228A524" w14:textId="77777777" w:rsidR="00654DD0" w:rsidRPr="00654DD0" w:rsidRDefault="00654DD0" w:rsidP="00654DD0">
                              <w:pPr>
                                <w:numPr>
                                  <w:ilvl w:val="0"/>
                                  <w:numId w:val="3"/>
                                </w:numPr>
                                <w:spacing w:line="275" w:lineRule="atLeast"/>
                                <w:rPr>
                                  <w:rFonts w:ascii="Calibri" w:eastAsia="Times New Roman" w:hAnsi="Calibri" w:cs="Times New Roman"/>
                                  <w:color w:val="202020"/>
                                  <w:sz w:val="22"/>
                                  <w:szCs w:val="22"/>
                                </w:rPr>
                              </w:pPr>
                              <w:r w:rsidRPr="00654DD0">
                                <w:rPr>
                                  <w:rFonts w:ascii="Tahoma" w:eastAsia="Times New Roman" w:hAnsi="Tahoma" w:cs="Times New Roman"/>
                                  <w:color w:val="202020"/>
                                  <w:sz w:val="21"/>
                                  <w:szCs w:val="21"/>
                                </w:rPr>
                                <w:t>For policies already placed, normal internal replacement guidelines apply. Rewrites will not be allowed.</w:t>
                              </w:r>
                            </w:p>
                            <w:p w14:paraId="5C5436F6" w14:textId="77777777" w:rsidR="00654DD0" w:rsidRPr="00654DD0" w:rsidRDefault="00654DD0" w:rsidP="00654DD0">
                              <w:pPr>
                                <w:numPr>
                                  <w:ilvl w:val="0"/>
                                  <w:numId w:val="3"/>
                                </w:numPr>
                                <w:spacing w:line="275" w:lineRule="atLeast"/>
                                <w:rPr>
                                  <w:rFonts w:ascii="Calibri" w:eastAsia="Times New Roman" w:hAnsi="Calibri" w:cs="Times New Roman"/>
                                  <w:color w:val="202020"/>
                                  <w:sz w:val="22"/>
                                  <w:szCs w:val="22"/>
                                </w:rPr>
                              </w:pPr>
                              <w:r w:rsidRPr="00654DD0">
                                <w:rPr>
                                  <w:rFonts w:ascii="Tahoma" w:eastAsia="Times New Roman" w:hAnsi="Tahoma" w:cs="Times New Roman"/>
                                  <w:color w:val="202020"/>
                                  <w:sz w:val="21"/>
                                  <w:szCs w:val="21"/>
                                </w:rPr>
                                <w:t xml:space="preserve">For cases with the owner listed as “Trust to be Established”, formal applications received in the Home Office by the end of the transition period and have been </w:t>
                              </w:r>
                              <w:r w:rsidRPr="00654DD0">
                                <w:rPr>
                                  <w:rFonts w:ascii="Tahoma" w:eastAsia="Times New Roman" w:hAnsi="Tahoma" w:cs="Times New Roman"/>
                                  <w:color w:val="202020"/>
                                  <w:sz w:val="21"/>
                                  <w:szCs w:val="21"/>
                                </w:rPr>
                                <w:lastRenderedPageBreak/>
                                <w:t>signed by the insured will still qualify as awaiting a trust to be set up is part of the normal course of business. The only paperwork that Lincoln will not require at submission is the executed Certification of Trustee Powers with the trustee/owner’s signature. It must be received prior to issue.</w:t>
                              </w:r>
                            </w:p>
                            <w:p w14:paraId="25CD4FE3" w14:textId="77777777" w:rsidR="00654DD0" w:rsidRPr="00654DD0" w:rsidRDefault="00654DD0" w:rsidP="00654DD0">
                              <w:pPr>
                                <w:numPr>
                                  <w:ilvl w:val="0"/>
                                  <w:numId w:val="3"/>
                                </w:numPr>
                                <w:spacing w:line="275" w:lineRule="atLeast"/>
                                <w:rPr>
                                  <w:rFonts w:ascii="Calibri" w:eastAsia="Times New Roman" w:hAnsi="Calibri" w:cs="Times New Roman"/>
                                  <w:color w:val="202020"/>
                                  <w:sz w:val="22"/>
                                  <w:szCs w:val="22"/>
                                </w:rPr>
                              </w:pPr>
                              <w:r w:rsidRPr="00654DD0">
                                <w:rPr>
                                  <w:rFonts w:ascii="Tahoma" w:eastAsia="Times New Roman" w:hAnsi="Tahoma" w:cs="Times New Roman"/>
                                  <w:color w:val="202020"/>
                                  <w:sz w:val="21"/>
                                  <w:szCs w:val="21"/>
                                </w:rPr>
                                <w:t>For formal applications that expire prior to Issue or have been closed out, a new Part I must be submitted, and the case will be subject to the rates available at that time.</w:t>
                              </w:r>
                            </w:p>
                            <w:p w14:paraId="507E8D1B" w14:textId="77777777" w:rsidR="00654DD0" w:rsidRPr="00654DD0" w:rsidRDefault="00654DD0" w:rsidP="00654DD0">
                              <w:pPr>
                                <w:spacing w:after="150" w:line="275" w:lineRule="atLeast"/>
                                <w:rPr>
                                  <w:rFonts w:ascii="Calibri" w:eastAsia="Times New Roman" w:hAnsi="Calibri" w:cs="Times New Roman"/>
                                  <w:sz w:val="22"/>
                                  <w:szCs w:val="22"/>
                                </w:rPr>
                              </w:pPr>
                              <w:r w:rsidRPr="00654DD0">
                                <w:rPr>
                                  <w:rFonts w:ascii="Tahoma" w:eastAsia="Times New Roman" w:hAnsi="Tahoma" w:cs="Times New Roman"/>
                                  <w:b/>
                                  <w:bCs/>
                                  <w:color w:val="202020"/>
                                </w:rPr>
                                <w:t>Pricing Update – </w:t>
                              </w:r>
                              <w:r w:rsidRPr="00654DD0">
                                <w:rPr>
                                  <w:rFonts w:ascii="Tahoma" w:eastAsia="Times New Roman" w:hAnsi="Tahoma" w:cs="Times New Roman"/>
                                  <w:b/>
                                  <w:bCs/>
                                  <w:i/>
                                  <w:iCs/>
                                  <w:color w:val="202020"/>
                                </w:rPr>
                                <w:t>Lincoln VULONE </w:t>
                              </w:r>
                              <w:r w:rsidRPr="00654DD0">
                                <w:rPr>
                                  <w:rFonts w:ascii="Tahoma" w:eastAsia="Times New Roman" w:hAnsi="Tahoma" w:cs="Times New Roman"/>
                                  <w:b/>
                                  <w:bCs/>
                                  <w:color w:val="202020"/>
                                </w:rPr>
                                <w:t>(2019) – 05/11/20, and </w:t>
                              </w:r>
                              <w:r w:rsidRPr="00654DD0">
                                <w:rPr>
                                  <w:rFonts w:ascii="Tahoma" w:eastAsia="Times New Roman" w:hAnsi="Tahoma" w:cs="Times New Roman"/>
                                  <w:b/>
                                  <w:bCs/>
                                  <w:i/>
                                  <w:iCs/>
                                  <w:color w:val="202020"/>
                                </w:rPr>
                                <w:t>Lincoln SVULONE </w:t>
                              </w:r>
                              <w:r w:rsidRPr="00654DD0">
                                <w:rPr>
                                  <w:rFonts w:ascii="Tahoma" w:eastAsia="Times New Roman" w:hAnsi="Tahoma" w:cs="Times New Roman"/>
                                  <w:b/>
                                  <w:bCs/>
                                  <w:color w:val="202020"/>
                                </w:rPr>
                                <w:t>(2019) – 05/11/20</w:t>
                              </w:r>
                            </w:p>
                            <w:p w14:paraId="21F83641" w14:textId="77777777" w:rsidR="00654DD0" w:rsidRPr="00654DD0" w:rsidRDefault="00654DD0" w:rsidP="00654DD0">
                              <w:pPr>
                                <w:spacing w:after="150" w:line="275" w:lineRule="atLeast"/>
                                <w:rPr>
                                  <w:rFonts w:ascii="Calibri" w:eastAsia="Times New Roman" w:hAnsi="Calibri" w:cs="Times New Roman"/>
                                  <w:sz w:val="22"/>
                                  <w:szCs w:val="22"/>
                                </w:rPr>
                              </w:pPr>
                              <w:r w:rsidRPr="00654DD0">
                                <w:rPr>
                                  <w:rFonts w:ascii="Tahoma" w:eastAsia="Times New Roman" w:hAnsi="Tahoma" w:cs="Times New Roman"/>
                                  <w:color w:val="202020"/>
                                  <w:sz w:val="21"/>
                                  <w:szCs w:val="21"/>
                                </w:rPr>
                                <w:t>Effective May 11, 2020, Lincoln is announcing pricing updates on </w:t>
                              </w:r>
                              <w:r w:rsidRPr="00654DD0">
                                <w:rPr>
                                  <w:rFonts w:ascii="Tahoma" w:eastAsia="Times New Roman" w:hAnsi="Tahoma" w:cs="Times New Roman"/>
                                  <w:i/>
                                  <w:iCs/>
                                  <w:color w:val="202020"/>
                                  <w:sz w:val="21"/>
                                  <w:szCs w:val="21"/>
                                </w:rPr>
                                <w:t>Lincoln VULONE </w:t>
                              </w:r>
                              <w:r w:rsidRPr="00654DD0">
                                <w:rPr>
                                  <w:rFonts w:ascii="Tahoma" w:eastAsia="Times New Roman" w:hAnsi="Tahoma" w:cs="Times New Roman"/>
                                  <w:color w:val="202020"/>
                                  <w:sz w:val="21"/>
                                  <w:szCs w:val="21"/>
                                </w:rPr>
                                <w:t>(2019), and </w:t>
                              </w:r>
                              <w:r w:rsidRPr="00654DD0">
                                <w:rPr>
                                  <w:rFonts w:ascii="Tahoma" w:eastAsia="Times New Roman" w:hAnsi="Tahoma" w:cs="Times New Roman"/>
                                  <w:i/>
                                  <w:iCs/>
                                  <w:color w:val="202020"/>
                                  <w:sz w:val="21"/>
                                  <w:szCs w:val="21"/>
                                </w:rPr>
                                <w:t>Lincoln SVULONE </w:t>
                              </w:r>
                              <w:r w:rsidRPr="00654DD0">
                                <w:rPr>
                                  <w:rFonts w:ascii="Tahoma" w:eastAsia="Times New Roman" w:hAnsi="Tahoma" w:cs="Times New Roman"/>
                                  <w:color w:val="202020"/>
                                  <w:sz w:val="21"/>
                                  <w:szCs w:val="21"/>
                                </w:rPr>
                                <w:t>(2019).</w:t>
                              </w:r>
                            </w:p>
                            <w:p w14:paraId="4A460F3D" w14:textId="77777777" w:rsidR="00654DD0" w:rsidRPr="00654DD0" w:rsidRDefault="00654DD0" w:rsidP="00654DD0">
                              <w:pPr>
                                <w:spacing w:after="150" w:line="275" w:lineRule="atLeast"/>
                                <w:rPr>
                                  <w:rFonts w:ascii="Calibri" w:eastAsia="Times New Roman" w:hAnsi="Calibri" w:cs="Times New Roman"/>
                                  <w:sz w:val="22"/>
                                  <w:szCs w:val="22"/>
                                </w:rPr>
                              </w:pPr>
                              <w:r w:rsidRPr="00654DD0">
                                <w:rPr>
                                  <w:rFonts w:ascii="Tahoma" w:eastAsia="Times New Roman" w:hAnsi="Tahoma" w:cs="Times New Roman"/>
                                  <w:color w:val="202020"/>
                                  <w:sz w:val="21"/>
                                  <w:szCs w:val="21"/>
                                </w:rPr>
                                <w:t> </w:t>
                              </w:r>
                              <w:r w:rsidRPr="00654DD0">
                                <w:rPr>
                                  <w:rFonts w:ascii="Tahoma" w:eastAsia="Times New Roman" w:hAnsi="Tahoma" w:cs="Times New Roman"/>
                                  <w:b/>
                                  <w:bCs/>
                                  <w:color w:val="202020"/>
                                  <w:sz w:val="21"/>
                                  <w:szCs w:val="21"/>
                                </w:rPr>
                                <w:t>Pricing Changes </w:t>
                              </w:r>
                            </w:p>
                            <w:p w14:paraId="7CC376C4" w14:textId="77777777" w:rsidR="00654DD0" w:rsidRPr="00654DD0" w:rsidRDefault="00654DD0" w:rsidP="00654DD0">
                              <w:pPr>
                                <w:numPr>
                                  <w:ilvl w:val="0"/>
                                  <w:numId w:val="4"/>
                                </w:numPr>
                                <w:spacing w:line="275" w:lineRule="atLeast"/>
                                <w:rPr>
                                  <w:rFonts w:ascii="Calibri" w:eastAsia="Times New Roman" w:hAnsi="Calibri" w:cs="Times New Roman"/>
                                  <w:color w:val="202020"/>
                                  <w:sz w:val="22"/>
                                  <w:szCs w:val="22"/>
                                </w:rPr>
                              </w:pPr>
                              <w:r w:rsidRPr="00654DD0">
                                <w:rPr>
                                  <w:rFonts w:ascii="Tahoma" w:eastAsia="Times New Roman" w:hAnsi="Tahoma" w:cs="Times New Roman"/>
                                  <w:color w:val="202020"/>
                                  <w:sz w:val="21"/>
                                  <w:szCs w:val="21"/>
                                </w:rPr>
                                <w:t>Premiums have increased 16% on average</w:t>
                              </w:r>
                            </w:p>
                            <w:p w14:paraId="71B034B6" w14:textId="77777777" w:rsidR="00654DD0" w:rsidRPr="00654DD0" w:rsidRDefault="00654DD0" w:rsidP="00654DD0">
                              <w:pPr>
                                <w:numPr>
                                  <w:ilvl w:val="1"/>
                                  <w:numId w:val="4"/>
                                </w:numPr>
                                <w:spacing w:line="275" w:lineRule="atLeast"/>
                                <w:rPr>
                                  <w:rFonts w:ascii="Calibri" w:eastAsia="Times New Roman" w:hAnsi="Calibri" w:cs="Times New Roman"/>
                                  <w:color w:val="202020"/>
                                  <w:sz w:val="22"/>
                                  <w:szCs w:val="22"/>
                                </w:rPr>
                              </w:pPr>
                              <w:r w:rsidRPr="00654DD0">
                                <w:rPr>
                                  <w:rFonts w:ascii="Tahoma" w:eastAsia="Times New Roman" w:hAnsi="Tahoma" w:cs="Times New Roman"/>
                                  <w:color w:val="202020"/>
                                  <w:sz w:val="21"/>
                                  <w:szCs w:val="21"/>
                                </w:rPr>
                                <w:t>Updates apply to </w:t>
                              </w:r>
                              <w:r w:rsidRPr="00654DD0">
                                <w:rPr>
                                  <w:rFonts w:ascii="Tahoma" w:eastAsia="Times New Roman" w:hAnsi="Tahoma" w:cs="Times New Roman"/>
                                  <w:i/>
                                  <w:iCs/>
                                  <w:color w:val="202020"/>
                                  <w:sz w:val="21"/>
                                  <w:szCs w:val="21"/>
                                </w:rPr>
                                <w:t>Lincoln VULONE </w:t>
                              </w:r>
                              <w:r w:rsidRPr="00654DD0">
                                <w:rPr>
                                  <w:rFonts w:ascii="Tahoma" w:eastAsia="Times New Roman" w:hAnsi="Tahoma" w:cs="Times New Roman"/>
                                  <w:color w:val="202020"/>
                                  <w:sz w:val="21"/>
                                  <w:szCs w:val="21"/>
                                </w:rPr>
                                <w:t>(2019) and </w:t>
                              </w:r>
                              <w:r w:rsidRPr="00654DD0">
                                <w:rPr>
                                  <w:rFonts w:ascii="Tahoma" w:eastAsia="Times New Roman" w:hAnsi="Tahoma" w:cs="Times New Roman"/>
                                  <w:i/>
                                  <w:iCs/>
                                  <w:color w:val="202020"/>
                                  <w:sz w:val="21"/>
                                  <w:szCs w:val="21"/>
                                </w:rPr>
                                <w:t>Lincoln SVULONE </w:t>
                              </w:r>
                              <w:r w:rsidRPr="00654DD0">
                                <w:rPr>
                                  <w:rFonts w:ascii="Tahoma" w:eastAsia="Times New Roman" w:hAnsi="Tahoma" w:cs="Times New Roman"/>
                                  <w:color w:val="202020"/>
                                  <w:sz w:val="21"/>
                                  <w:szCs w:val="21"/>
                                </w:rPr>
                                <w:t>(2019)</w:t>
                              </w:r>
                            </w:p>
                            <w:p w14:paraId="0FE31F88" w14:textId="77777777" w:rsidR="00654DD0" w:rsidRPr="00654DD0" w:rsidRDefault="00654DD0" w:rsidP="00654DD0">
                              <w:pPr>
                                <w:numPr>
                                  <w:ilvl w:val="1"/>
                                  <w:numId w:val="4"/>
                                </w:numPr>
                                <w:spacing w:line="275" w:lineRule="atLeast"/>
                                <w:rPr>
                                  <w:rFonts w:ascii="Calibri" w:eastAsia="Times New Roman" w:hAnsi="Calibri" w:cs="Times New Roman"/>
                                  <w:color w:val="202020"/>
                                  <w:sz w:val="22"/>
                                  <w:szCs w:val="22"/>
                                </w:rPr>
                              </w:pPr>
                              <w:r w:rsidRPr="00654DD0">
                                <w:rPr>
                                  <w:rFonts w:ascii="Tahoma" w:eastAsia="Times New Roman" w:hAnsi="Tahoma" w:cs="Times New Roman"/>
                                  <w:color w:val="202020"/>
                                  <w:sz w:val="21"/>
                                  <w:szCs w:val="21"/>
                                </w:rPr>
                                <w:t>Updates apply across all funding patterns</w:t>
                              </w:r>
                            </w:p>
                            <w:p w14:paraId="173D7029" w14:textId="77777777" w:rsidR="00654DD0" w:rsidRPr="00654DD0" w:rsidRDefault="00654DD0" w:rsidP="00654DD0">
                              <w:pPr>
                                <w:numPr>
                                  <w:ilvl w:val="0"/>
                                  <w:numId w:val="4"/>
                                </w:numPr>
                                <w:spacing w:line="275" w:lineRule="atLeast"/>
                                <w:rPr>
                                  <w:rFonts w:ascii="Calibri" w:eastAsia="Times New Roman" w:hAnsi="Calibri" w:cs="Times New Roman"/>
                                  <w:color w:val="202020"/>
                                  <w:sz w:val="22"/>
                                  <w:szCs w:val="22"/>
                                </w:rPr>
                              </w:pPr>
                              <w:r w:rsidRPr="00654DD0">
                                <w:rPr>
                                  <w:rFonts w:ascii="Tahoma" w:eastAsia="Times New Roman" w:hAnsi="Tahoma" w:cs="Times New Roman"/>
                                  <w:color w:val="202020"/>
                                  <w:sz w:val="21"/>
                                  <w:szCs w:val="21"/>
                                </w:rPr>
                                <w:t>There were no impacts to Target premiums</w:t>
                              </w:r>
                            </w:p>
                            <w:p w14:paraId="2B04A0E0" w14:textId="77777777" w:rsidR="00654DD0" w:rsidRPr="00654DD0" w:rsidRDefault="00654DD0" w:rsidP="00654DD0">
                              <w:pPr>
                                <w:spacing w:after="150" w:line="275" w:lineRule="atLeast"/>
                                <w:rPr>
                                  <w:rFonts w:ascii="Calibri" w:eastAsia="Times New Roman" w:hAnsi="Calibri" w:cs="Times New Roman"/>
                                  <w:sz w:val="22"/>
                                  <w:szCs w:val="22"/>
                                </w:rPr>
                              </w:pPr>
                              <w:r w:rsidRPr="00654DD0">
                                <w:rPr>
                                  <w:rFonts w:ascii="Tahoma" w:eastAsia="Times New Roman" w:hAnsi="Tahoma" w:cs="Times New Roman"/>
                                  <w:b/>
                                  <w:bCs/>
                                  <w:color w:val="202020"/>
                                  <w:sz w:val="21"/>
                                  <w:szCs w:val="21"/>
                                </w:rPr>
                                <w:t>Transition Guidelines </w:t>
                              </w:r>
                            </w:p>
                            <w:p w14:paraId="6B9C6BE4" w14:textId="77777777" w:rsidR="00654DD0" w:rsidRPr="00654DD0" w:rsidRDefault="00654DD0" w:rsidP="00654DD0">
                              <w:pPr>
                                <w:spacing w:after="150" w:line="275" w:lineRule="atLeast"/>
                                <w:rPr>
                                  <w:rFonts w:ascii="Calibri" w:eastAsia="Times New Roman" w:hAnsi="Calibri" w:cs="Times New Roman"/>
                                  <w:sz w:val="22"/>
                                  <w:szCs w:val="22"/>
                                </w:rPr>
                              </w:pPr>
                              <w:r w:rsidRPr="00654DD0">
                                <w:rPr>
                                  <w:rFonts w:ascii="Tahoma" w:eastAsia="Times New Roman" w:hAnsi="Tahoma" w:cs="Times New Roman"/>
                                  <w:color w:val="202020"/>
                                  <w:sz w:val="21"/>
                                  <w:szCs w:val="21"/>
                                </w:rPr>
                                <w:t>All states are automatically approved at rollout with the exception of New York (where the product is not currently available), and the transition period begins on May 11, 2020 and ends on May 22, 2020. Additionally, all pending business must be issued, or 1035 exchanges initiated (where applicable), on or before August 28, 2020. </w:t>
                              </w:r>
                            </w:p>
                            <w:p w14:paraId="6AE404B5" w14:textId="77777777" w:rsidR="00654DD0" w:rsidRPr="00654DD0" w:rsidRDefault="00654DD0" w:rsidP="00654DD0">
                              <w:pPr>
                                <w:numPr>
                                  <w:ilvl w:val="0"/>
                                  <w:numId w:val="5"/>
                                </w:numPr>
                                <w:spacing w:line="275" w:lineRule="atLeast"/>
                                <w:rPr>
                                  <w:rFonts w:ascii="Calibri" w:eastAsia="Times New Roman" w:hAnsi="Calibri" w:cs="Times New Roman"/>
                                  <w:color w:val="202020"/>
                                  <w:sz w:val="22"/>
                                  <w:szCs w:val="22"/>
                                </w:rPr>
                              </w:pPr>
                              <w:r w:rsidRPr="00654DD0">
                                <w:rPr>
                                  <w:rFonts w:ascii="Tahoma" w:eastAsia="Times New Roman" w:hAnsi="Tahoma" w:cs="Times New Roman"/>
                                  <w:color w:val="202020"/>
                                  <w:sz w:val="21"/>
                                  <w:szCs w:val="21"/>
                                </w:rPr>
                                <w:t>For the old product, formal applications must be signed, dated and received in-good-order in Lincoln’s home office by the end of the transition period to qualify. </w:t>
                              </w:r>
                            </w:p>
                            <w:p w14:paraId="48958FC3" w14:textId="77777777" w:rsidR="00654DD0" w:rsidRPr="00654DD0" w:rsidRDefault="00654DD0" w:rsidP="00654DD0">
                              <w:pPr>
                                <w:numPr>
                                  <w:ilvl w:val="0"/>
                                  <w:numId w:val="5"/>
                                </w:numPr>
                                <w:spacing w:line="275" w:lineRule="atLeast"/>
                                <w:rPr>
                                  <w:rFonts w:ascii="Calibri" w:eastAsia="Times New Roman" w:hAnsi="Calibri" w:cs="Times New Roman"/>
                                  <w:color w:val="202020"/>
                                  <w:sz w:val="22"/>
                                  <w:szCs w:val="22"/>
                                </w:rPr>
                              </w:pPr>
                              <w:r w:rsidRPr="00654DD0">
                                <w:rPr>
                                  <w:rFonts w:ascii="Tahoma" w:eastAsia="Times New Roman" w:hAnsi="Tahoma" w:cs="Times New Roman"/>
                                  <w:color w:val="202020"/>
                                  <w:sz w:val="21"/>
                                  <w:szCs w:val="21"/>
                                </w:rPr>
                                <w:t>For </w:t>
                              </w:r>
                              <w:proofErr w:type="spellStart"/>
                              <w:r w:rsidRPr="00654DD0">
                                <w:rPr>
                                  <w:rFonts w:ascii="Tahoma" w:eastAsia="Times New Roman" w:hAnsi="Tahoma" w:cs="Times New Roman"/>
                                  <w:i/>
                                  <w:iCs/>
                                  <w:color w:val="202020"/>
                                  <w:sz w:val="21"/>
                                  <w:szCs w:val="21"/>
                                </w:rPr>
                                <w:t>LincXpress</w:t>
                              </w:r>
                              <w:proofErr w:type="spellEnd"/>
                              <w:r w:rsidRPr="00654DD0">
                                <w:rPr>
                                  <w:rFonts w:ascii="Tahoma" w:eastAsia="Times New Roman" w:hAnsi="Tahoma" w:cs="Times New Roman"/>
                                  <w:color w:val="202020"/>
                                  <w:sz w:val="21"/>
                                  <w:szCs w:val="21"/>
                                </w:rPr>
                                <w:t>® Tele-App Cases, a complete ticket and required solicitation forms must be received in Lincoln’s home office by the end of the transition period to qualify. </w:t>
                              </w:r>
                            </w:p>
                            <w:p w14:paraId="2CB8F6FF" w14:textId="77777777" w:rsidR="00654DD0" w:rsidRPr="00654DD0" w:rsidRDefault="00654DD0" w:rsidP="00654DD0">
                              <w:pPr>
                                <w:numPr>
                                  <w:ilvl w:val="0"/>
                                  <w:numId w:val="5"/>
                                </w:numPr>
                                <w:spacing w:line="275" w:lineRule="atLeast"/>
                                <w:rPr>
                                  <w:rFonts w:ascii="Calibri" w:eastAsia="Times New Roman" w:hAnsi="Calibri" w:cs="Times New Roman"/>
                                  <w:color w:val="202020"/>
                                  <w:sz w:val="22"/>
                                  <w:szCs w:val="22"/>
                                </w:rPr>
                              </w:pPr>
                              <w:r w:rsidRPr="00654DD0">
                                <w:rPr>
                                  <w:rFonts w:ascii="Tahoma" w:eastAsia="Times New Roman" w:hAnsi="Tahoma" w:cs="Times New Roman"/>
                                  <w:color w:val="202020"/>
                                  <w:sz w:val="21"/>
                                  <w:szCs w:val="21"/>
                                </w:rPr>
                                <w:t>For pending business or policies already issued, Lincoln will accept a written request and a revised illustration to change to the </w:t>
                              </w:r>
                              <w:r w:rsidRPr="00654DD0">
                                <w:rPr>
                                  <w:rFonts w:ascii="Tahoma" w:eastAsia="Times New Roman" w:hAnsi="Tahoma" w:cs="Times New Roman"/>
                                  <w:i/>
                                  <w:iCs/>
                                  <w:color w:val="202020"/>
                                  <w:sz w:val="21"/>
                                  <w:szCs w:val="21"/>
                                </w:rPr>
                                <w:t>Lincoln VULONE </w:t>
                              </w:r>
                              <w:r w:rsidRPr="00654DD0">
                                <w:rPr>
                                  <w:rFonts w:ascii="Tahoma" w:eastAsia="Times New Roman" w:hAnsi="Tahoma" w:cs="Times New Roman"/>
                                  <w:color w:val="202020"/>
                                  <w:sz w:val="21"/>
                                  <w:szCs w:val="21"/>
                                </w:rPr>
                                <w:t xml:space="preserve">(2019) – 05/11/20, </w:t>
                              </w:r>
                              <w:proofErr w:type="spellStart"/>
                              <w:r w:rsidRPr="00654DD0">
                                <w:rPr>
                                  <w:rFonts w:ascii="Tahoma" w:eastAsia="Times New Roman" w:hAnsi="Tahoma" w:cs="Times New Roman"/>
                                  <w:color w:val="202020"/>
                                  <w:sz w:val="21"/>
                                  <w:szCs w:val="21"/>
                                </w:rPr>
                                <w:t>and</w:t>
                              </w:r>
                              <w:r w:rsidRPr="00654DD0">
                                <w:rPr>
                                  <w:rFonts w:ascii="Tahoma" w:eastAsia="Times New Roman" w:hAnsi="Tahoma" w:cs="Times New Roman"/>
                                  <w:i/>
                                  <w:iCs/>
                                  <w:color w:val="202020"/>
                                  <w:sz w:val="21"/>
                                  <w:szCs w:val="21"/>
                                </w:rPr>
                                <w:t>Lincoln</w:t>
                              </w:r>
                              <w:proofErr w:type="spellEnd"/>
                              <w:r w:rsidRPr="00654DD0">
                                <w:rPr>
                                  <w:rFonts w:ascii="Tahoma" w:eastAsia="Times New Roman" w:hAnsi="Tahoma" w:cs="Times New Roman"/>
                                  <w:i/>
                                  <w:iCs/>
                                  <w:color w:val="202020"/>
                                  <w:sz w:val="21"/>
                                  <w:szCs w:val="21"/>
                                </w:rPr>
                                <w:t xml:space="preserve"> SVULONE </w:t>
                              </w:r>
                              <w:r w:rsidRPr="00654DD0">
                                <w:rPr>
                                  <w:rFonts w:ascii="Tahoma" w:eastAsia="Times New Roman" w:hAnsi="Tahoma" w:cs="Times New Roman"/>
                                  <w:color w:val="202020"/>
                                  <w:sz w:val="21"/>
                                  <w:szCs w:val="21"/>
                                </w:rPr>
                                <w:t>(2019) – 05/11/20 </w:t>
                              </w:r>
                            </w:p>
                            <w:p w14:paraId="4EE84F3B" w14:textId="77777777" w:rsidR="00654DD0" w:rsidRPr="00654DD0" w:rsidRDefault="00654DD0" w:rsidP="00654DD0">
                              <w:pPr>
                                <w:numPr>
                                  <w:ilvl w:val="0"/>
                                  <w:numId w:val="5"/>
                                </w:numPr>
                                <w:spacing w:line="275" w:lineRule="atLeast"/>
                                <w:rPr>
                                  <w:rFonts w:ascii="Calibri" w:eastAsia="Times New Roman" w:hAnsi="Calibri" w:cs="Times New Roman"/>
                                  <w:color w:val="202020"/>
                                  <w:sz w:val="22"/>
                                  <w:szCs w:val="22"/>
                                </w:rPr>
                              </w:pPr>
                              <w:r w:rsidRPr="00654DD0">
                                <w:rPr>
                                  <w:rFonts w:ascii="Tahoma" w:eastAsia="Times New Roman" w:hAnsi="Tahoma" w:cs="Times New Roman"/>
                                  <w:color w:val="202020"/>
                                  <w:sz w:val="21"/>
                                  <w:szCs w:val="21"/>
                                </w:rPr>
                                <w:t>For policies already placed, normal internal replacement guidelines apply. Rewrites will not be allowed </w:t>
                              </w:r>
                            </w:p>
                            <w:p w14:paraId="413465EC" w14:textId="77777777" w:rsidR="00654DD0" w:rsidRPr="00654DD0" w:rsidRDefault="00654DD0" w:rsidP="00654DD0">
                              <w:pPr>
                                <w:numPr>
                                  <w:ilvl w:val="0"/>
                                  <w:numId w:val="5"/>
                                </w:numPr>
                                <w:spacing w:line="275" w:lineRule="atLeast"/>
                                <w:rPr>
                                  <w:rFonts w:ascii="Calibri" w:eastAsia="Times New Roman" w:hAnsi="Calibri" w:cs="Times New Roman"/>
                                  <w:color w:val="202020"/>
                                  <w:sz w:val="22"/>
                                  <w:szCs w:val="22"/>
                                </w:rPr>
                              </w:pPr>
                              <w:r w:rsidRPr="00654DD0">
                                <w:rPr>
                                  <w:rFonts w:ascii="Tahoma" w:eastAsia="Times New Roman" w:hAnsi="Tahoma" w:cs="Times New Roman"/>
                                  <w:color w:val="202020"/>
                                  <w:sz w:val="21"/>
                                  <w:szCs w:val="21"/>
                                </w:rPr>
                                <w:t>For cases with the owner listed as “Trust to be Established”, formal applications received in the Home Office by the end of the transition period and have been signed by the insured will still qualify as awaiting a trust to be set up is part of the normal course of business. The only paperwork that Lincoln will not require at submission is the executed Certification of Trustee Powers with the trustee/owner’s signature. It must be received prior to issue. </w:t>
                              </w:r>
                            </w:p>
                            <w:p w14:paraId="1236E042" w14:textId="77777777" w:rsidR="00654DD0" w:rsidRPr="00654DD0" w:rsidRDefault="00654DD0" w:rsidP="00654DD0">
                              <w:pPr>
                                <w:numPr>
                                  <w:ilvl w:val="0"/>
                                  <w:numId w:val="5"/>
                                </w:numPr>
                                <w:spacing w:line="275" w:lineRule="atLeast"/>
                                <w:rPr>
                                  <w:rFonts w:ascii="Calibri" w:eastAsia="Times New Roman" w:hAnsi="Calibri" w:cs="Times New Roman"/>
                                  <w:color w:val="202020"/>
                                  <w:sz w:val="22"/>
                                  <w:szCs w:val="22"/>
                                </w:rPr>
                              </w:pPr>
                              <w:r w:rsidRPr="00654DD0">
                                <w:rPr>
                                  <w:rFonts w:ascii="Tahoma" w:eastAsia="Times New Roman" w:hAnsi="Tahoma" w:cs="Times New Roman"/>
                                  <w:color w:val="202020"/>
                                  <w:sz w:val="21"/>
                                  <w:szCs w:val="21"/>
                                </w:rPr>
                                <w:t>For formal applications that expire prior to Issue or have been closed out, a new Part I must be submitted, and the case will be subject to the rates available at that time. </w:t>
                              </w:r>
                            </w:p>
                            <w:p w14:paraId="5E460F6E" w14:textId="77777777" w:rsidR="00654DD0" w:rsidRPr="00654DD0" w:rsidRDefault="00654DD0" w:rsidP="00654DD0">
                              <w:pPr>
                                <w:spacing w:after="150" w:line="275" w:lineRule="atLeast"/>
                                <w:rPr>
                                  <w:rFonts w:ascii="Calibri" w:eastAsia="Times New Roman" w:hAnsi="Calibri" w:cs="Times New Roman"/>
                                  <w:sz w:val="22"/>
                                  <w:szCs w:val="22"/>
                                </w:rPr>
                              </w:pPr>
                              <w:r w:rsidRPr="00654DD0">
                                <w:rPr>
                                  <w:rFonts w:ascii="Tahoma" w:eastAsia="Times New Roman" w:hAnsi="Tahoma" w:cs="Times New Roman"/>
                                  <w:color w:val="202020"/>
                                  <w:sz w:val="21"/>
                                  <w:szCs w:val="21"/>
                                </w:rPr>
                                <w:t>Please reference our </w:t>
                              </w:r>
                              <w:hyperlink r:id="rId6" w:tgtFrame="_blank" w:history="1">
                                <w:r w:rsidRPr="00654DD0">
                                  <w:rPr>
                                    <w:rFonts w:ascii="Tahoma" w:eastAsia="Times New Roman" w:hAnsi="Tahoma" w:cs="Times New Roman"/>
                                    <w:color w:val="007C89"/>
                                    <w:sz w:val="21"/>
                                    <w:szCs w:val="21"/>
                                    <w:u w:val="single"/>
                                  </w:rPr>
                                  <w:t>VUL Transition FAQ</w:t>
                                </w:r>
                              </w:hyperlink>
                              <w:r w:rsidRPr="00654DD0">
                                <w:rPr>
                                  <w:rFonts w:ascii="Tahoma" w:eastAsia="Times New Roman" w:hAnsi="Tahoma" w:cs="Times New Roman"/>
                                  <w:color w:val="202020"/>
                                  <w:sz w:val="21"/>
                                  <w:szCs w:val="21"/>
                                </w:rPr>
                                <w:t> for additional transition guideline questions.</w:t>
                              </w:r>
                            </w:p>
                          </w:tc>
                        </w:tr>
                      </w:tbl>
                      <w:p w14:paraId="3E04D7F7" w14:textId="77777777" w:rsidR="00654DD0" w:rsidRPr="00654DD0" w:rsidRDefault="00654DD0" w:rsidP="00654DD0">
                        <w:pPr>
                          <w:rPr>
                            <w:rFonts w:ascii="Times New Roman" w:eastAsia="Times New Roman" w:hAnsi="Times New Roman" w:cs="Times New Roman"/>
                          </w:rPr>
                        </w:pPr>
                      </w:p>
                    </w:tc>
                  </w:tr>
                </w:tbl>
                <w:p w14:paraId="0F90367C" w14:textId="77777777" w:rsidR="00654DD0" w:rsidRPr="00654DD0" w:rsidRDefault="00654DD0" w:rsidP="00654DD0">
                  <w:pPr>
                    <w:rPr>
                      <w:rFonts w:ascii="Times New Roman" w:eastAsia="Times New Roman" w:hAnsi="Times New Roman" w:cs="Times New Roman"/>
                    </w:rPr>
                  </w:pPr>
                </w:p>
              </w:tc>
            </w:tr>
          </w:tbl>
          <w:p w14:paraId="12EAA401" w14:textId="77777777" w:rsidR="00654DD0" w:rsidRPr="00654DD0" w:rsidRDefault="00654DD0" w:rsidP="00654DD0">
            <w:pPr>
              <w:rPr>
                <w:rFonts w:ascii="-webkit-standard" w:eastAsia="Times New Roman" w:hAnsi="-webkit-standard" w:cs="Times New Roman"/>
              </w:rPr>
            </w:pPr>
          </w:p>
        </w:tc>
      </w:tr>
    </w:tbl>
    <w:p w14:paraId="61CF8863" w14:textId="77777777" w:rsidR="005A01A8" w:rsidRDefault="005A01A8" w:rsidP="00654DD0"/>
    <w:sectPr w:rsidR="005A01A8" w:rsidSect="00344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webkit-standard">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03DC6"/>
    <w:multiLevelType w:val="multilevel"/>
    <w:tmpl w:val="2C1E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3D59D8"/>
    <w:multiLevelType w:val="multilevel"/>
    <w:tmpl w:val="14AA1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824D5D"/>
    <w:multiLevelType w:val="multilevel"/>
    <w:tmpl w:val="497A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D52422"/>
    <w:multiLevelType w:val="multilevel"/>
    <w:tmpl w:val="AA68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4557F0"/>
    <w:multiLevelType w:val="multilevel"/>
    <w:tmpl w:val="AF92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D0"/>
    <w:rsid w:val="00344F28"/>
    <w:rsid w:val="005A01A8"/>
    <w:rsid w:val="0065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DDD9DA"/>
  <w15:chartTrackingRefBased/>
  <w15:docId w15:val="{6189FEC5-96E3-E948-82A6-E116E38A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4DD0"/>
    <w:rPr>
      <w:b/>
      <w:bCs/>
    </w:rPr>
  </w:style>
  <w:style w:type="character" w:styleId="Hyperlink">
    <w:name w:val="Hyperlink"/>
    <w:basedOn w:val="DefaultParagraphFont"/>
    <w:uiPriority w:val="99"/>
    <w:semiHidden/>
    <w:unhideWhenUsed/>
    <w:rsid w:val="00654DD0"/>
    <w:rPr>
      <w:color w:val="0000FF"/>
      <w:u w:val="single"/>
    </w:rPr>
  </w:style>
  <w:style w:type="character" w:styleId="Emphasis">
    <w:name w:val="Emphasis"/>
    <w:basedOn w:val="DefaultParagraphFont"/>
    <w:uiPriority w:val="20"/>
    <w:qFormat/>
    <w:rsid w:val="00654DD0"/>
    <w:rPr>
      <w:i/>
      <w:iCs/>
    </w:rPr>
  </w:style>
  <w:style w:type="character" w:customStyle="1" w:styleId="apple-converted-space">
    <w:name w:val="apple-converted-space"/>
    <w:basedOn w:val="DefaultParagraphFont"/>
    <w:rsid w:val="00654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67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inessentials.us12.list-manage.com/track/click?u=435de3cac437847913fdbd4a1&amp;id=c5edae6a07&amp;e=d73f8ae019" TargetMode="External"/><Relationship Id="rId5" Type="http://schemas.openxmlformats.org/officeDocument/2006/relationships/hyperlink" Target="https://ainessentials.us12.list-manage.com/track/click?u=435de3cac437847913fdbd4a1&amp;id=bf4aff1cc7&amp;e=d73f8ae0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Crisafulli</dc:creator>
  <cp:keywords/>
  <dc:description/>
  <cp:lastModifiedBy>Teri Crisafulli</cp:lastModifiedBy>
  <cp:revision>1</cp:revision>
  <dcterms:created xsi:type="dcterms:W3CDTF">2020-05-14T17:50:00Z</dcterms:created>
  <dcterms:modified xsi:type="dcterms:W3CDTF">2020-05-14T17:53:00Z</dcterms:modified>
</cp:coreProperties>
</file>